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AFED5" w14:textId="77777777" w:rsidR="00D65C88" w:rsidRPr="00FA78B0" w:rsidRDefault="00D65C88" w:rsidP="00D65C88">
      <w:pPr>
        <w:rPr>
          <w:rFonts w:cstheme="minorHAnsi"/>
          <w:sz w:val="28"/>
          <w:szCs w:val="28"/>
        </w:rPr>
      </w:pPr>
      <w:r w:rsidRPr="00FA78B0">
        <w:rPr>
          <w:rFonts w:cstheme="minorHAnsi"/>
          <w:noProof/>
        </w:rPr>
        <w:drawing>
          <wp:anchor distT="0" distB="0" distL="114300" distR="114300" simplePos="0" relativeHeight="251658240" behindDoc="0" locked="0" layoutInCell="1" allowOverlap="1" wp14:anchorId="32A8606E" wp14:editId="624B4918">
            <wp:simplePos x="0" y="0"/>
            <wp:positionH relativeFrom="margin">
              <wp:align>left</wp:align>
            </wp:positionH>
            <wp:positionV relativeFrom="paragraph">
              <wp:posOffset>327660</wp:posOffset>
            </wp:positionV>
            <wp:extent cx="1733550" cy="953770"/>
            <wp:effectExtent l="0" t="0" r="0" b="0"/>
            <wp:wrapTopAndBottom/>
            <wp:docPr id="5" name="Picture 5" descr="Text&#10;&#10;Description automatically generated with low confidenc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with low confidence">
                      <a:hlinkClick r:id="rId11"/>
                    </pic:cNvPr>
                    <pic:cNvPicPr/>
                  </pic:nvPicPr>
                  <pic:blipFill>
                    <a:blip r:embed="rId12"/>
                    <a:stretch>
                      <a:fillRect/>
                    </a:stretch>
                  </pic:blipFill>
                  <pic:spPr>
                    <a:xfrm>
                      <a:off x="0" y="0"/>
                      <a:ext cx="1753147" cy="964848"/>
                    </a:xfrm>
                    <a:prstGeom prst="rect">
                      <a:avLst/>
                    </a:prstGeom>
                  </pic:spPr>
                </pic:pic>
              </a:graphicData>
            </a:graphic>
            <wp14:sizeRelH relativeFrom="margin">
              <wp14:pctWidth>0</wp14:pctWidth>
            </wp14:sizeRelH>
            <wp14:sizeRelV relativeFrom="margin">
              <wp14:pctHeight>0</wp14:pctHeight>
            </wp14:sizeRelV>
          </wp:anchor>
        </w:drawing>
      </w:r>
    </w:p>
    <w:p w14:paraId="16EEF09F" w14:textId="77777777" w:rsidR="00D65C88" w:rsidRPr="00FA78B0" w:rsidRDefault="00D65C88" w:rsidP="00D65C88">
      <w:pPr>
        <w:ind w:left="360"/>
        <w:rPr>
          <w:rFonts w:cstheme="minorHAnsi"/>
          <w:sz w:val="28"/>
          <w:szCs w:val="28"/>
        </w:rPr>
      </w:pPr>
    </w:p>
    <w:p w14:paraId="6791C2ED" w14:textId="77777777" w:rsidR="00D65C88" w:rsidRPr="00FA78B0" w:rsidRDefault="00D65C88" w:rsidP="00D65C88">
      <w:pPr>
        <w:ind w:left="360"/>
        <w:rPr>
          <w:rFonts w:cstheme="minorHAnsi"/>
          <w:sz w:val="28"/>
          <w:szCs w:val="28"/>
        </w:rPr>
      </w:pPr>
    </w:p>
    <w:p w14:paraId="55F0FBB6" w14:textId="449CE479" w:rsidR="00D65C88" w:rsidRPr="00FA78B0" w:rsidRDefault="00D65C88" w:rsidP="00D65C88">
      <w:pPr>
        <w:spacing w:line="300" w:lineRule="auto"/>
        <w:ind w:left="720" w:right="450"/>
        <w:rPr>
          <w:rFonts w:cstheme="minorHAnsi"/>
          <w:sz w:val="28"/>
          <w:szCs w:val="28"/>
        </w:rPr>
      </w:pPr>
      <w:r w:rsidRPr="00FA78B0">
        <w:rPr>
          <w:rFonts w:cstheme="minorHAnsi"/>
          <w:sz w:val="28"/>
          <w:szCs w:val="28"/>
        </w:rPr>
        <w:t>This template is intended for educational purposes only, without any express or implied warranty of any kind, including warranties of accuracy, completeness, or fitness for any particular purpose.</w:t>
      </w:r>
      <w:r w:rsidR="00F448ED">
        <w:rPr>
          <w:rFonts w:cstheme="minorHAnsi"/>
          <w:sz w:val="28"/>
          <w:szCs w:val="28"/>
        </w:rPr>
        <w:t xml:space="preserve"> </w:t>
      </w:r>
      <w:r w:rsidRPr="00FA78B0">
        <w:rPr>
          <w:rFonts w:cstheme="minorHAnsi"/>
          <w:sz w:val="28"/>
          <w:szCs w:val="28"/>
          <w:shd w:val="clear" w:color="auto" w:fill="FFFFFF"/>
        </w:rPr>
        <w:t>You agree that your use of the template is without any recourse whatsoever to PG&amp;E, SCE, SDG&amp;E, or their affiliates.</w:t>
      </w:r>
      <w:r w:rsidRPr="00FA78B0">
        <w:rPr>
          <w:rFonts w:cstheme="minorHAnsi"/>
          <w:sz w:val="28"/>
          <w:szCs w:val="28"/>
        </w:rPr>
        <w:t xml:space="preserve"> The template is a draft, and anyone using this document should seek the advice of an attorney to develop appropriate ordinance language to meet its jurisdiction’s specific needs, as state and local laws may differ.</w:t>
      </w:r>
    </w:p>
    <w:p w14:paraId="18F5576D" w14:textId="77777777" w:rsidR="00D65C88" w:rsidRPr="00FA78B0" w:rsidRDefault="00D65C88" w:rsidP="00D65C88">
      <w:pPr>
        <w:spacing w:line="300" w:lineRule="auto"/>
        <w:ind w:left="720" w:right="720"/>
        <w:rPr>
          <w:rFonts w:cstheme="minorHAnsi"/>
          <w:sz w:val="28"/>
          <w:szCs w:val="28"/>
        </w:rPr>
      </w:pPr>
    </w:p>
    <w:p w14:paraId="1727B011" w14:textId="4A4C6F04" w:rsidR="00D65C88" w:rsidRPr="00FA78B0" w:rsidRDefault="00703131" w:rsidP="00D65C88">
      <w:pPr>
        <w:spacing w:line="300" w:lineRule="auto"/>
        <w:ind w:left="720" w:right="720"/>
        <w:rPr>
          <w:rFonts w:cstheme="minorHAnsi"/>
          <w:sz w:val="28"/>
          <w:szCs w:val="28"/>
        </w:rPr>
      </w:pPr>
      <w:r>
        <w:rPr>
          <w:rFonts w:cstheme="minorHAnsi"/>
          <w:sz w:val="28"/>
          <w:szCs w:val="28"/>
        </w:rPr>
        <w:t>C</w:t>
      </w:r>
      <w:r w:rsidRPr="00FA78B0">
        <w:rPr>
          <w:rFonts w:cstheme="minorHAnsi"/>
          <w:sz w:val="28"/>
          <w:szCs w:val="28"/>
        </w:rPr>
        <w:t xml:space="preserve">ontact </w:t>
      </w:r>
      <w:r w:rsidR="00D65C88" w:rsidRPr="00FA78B0">
        <w:rPr>
          <w:rFonts w:cstheme="minorHAnsi"/>
          <w:sz w:val="28"/>
          <w:szCs w:val="28"/>
        </w:rPr>
        <w:t xml:space="preserve">the Codes and Standards Reach Codes Team at </w:t>
      </w:r>
      <w:hyperlink r:id="rId13" w:history="1">
        <w:r w:rsidR="00D65C88" w:rsidRPr="00FA78B0">
          <w:rPr>
            <w:rStyle w:val="Hyperlink"/>
            <w:rFonts w:cstheme="minorHAnsi"/>
            <w:sz w:val="28"/>
            <w:szCs w:val="28"/>
          </w:rPr>
          <w:t>info@LocalEnergyCodes.com</w:t>
        </w:r>
      </w:hyperlink>
      <w:r w:rsidR="00D65C88" w:rsidRPr="00FA78B0">
        <w:rPr>
          <w:rFonts w:cstheme="minorHAnsi"/>
          <w:sz w:val="28"/>
          <w:szCs w:val="28"/>
        </w:rPr>
        <w:t xml:space="preserve"> for additional information.</w:t>
      </w:r>
    </w:p>
    <w:p w14:paraId="689A29E1" w14:textId="77777777" w:rsidR="00D65C88" w:rsidRPr="00FA78B0" w:rsidRDefault="00D65C88" w:rsidP="00D65C88">
      <w:pPr>
        <w:rPr>
          <w:rFonts w:cstheme="minorHAnsi"/>
          <w:color w:val="3E474C"/>
        </w:rPr>
      </w:pPr>
    </w:p>
    <w:p w14:paraId="7D45954B" w14:textId="77777777" w:rsidR="00D65C88" w:rsidRPr="00FA78B0" w:rsidRDefault="00D65C88" w:rsidP="00D65C88">
      <w:pPr>
        <w:rPr>
          <w:rFonts w:cstheme="minorHAnsi"/>
          <w:color w:val="3E474C"/>
        </w:rPr>
      </w:pPr>
    </w:p>
    <w:p w14:paraId="717D6869" w14:textId="77777777" w:rsidR="00D65C88" w:rsidRPr="00FA78B0" w:rsidRDefault="00D65C88" w:rsidP="00D65C88">
      <w:pPr>
        <w:rPr>
          <w:rFonts w:cstheme="minorHAnsi"/>
          <w:color w:val="3E474C"/>
        </w:rPr>
      </w:pPr>
    </w:p>
    <w:p w14:paraId="731B823F" w14:textId="77777777" w:rsidR="00D65C88" w:rsidRPr="00FA78B0" w:rsidRDefault="00D65C88" w:rsidP="00D65C88">
      <w:pPr>
        <w:rPr>
          <w:rFonts w:cstheme="minorHAnsi"/>
          <w:color w:val="3E474C"/>
        </w:rPr>
      </w:pPr>
    </w:p>
    <w:p w14:paraId="01609FB4" w14:textId="77777777" w:rsidR="00D65C88" w:rsidRPr="00B30D8A" w:rsidRDefault="00D65C88" w:rsidP="0074012F">
      <w:pPr>
        <w:ind w:left="720" w:right="720"/>
        <w:rPr>
          <w:rFonts w:eastAsia="Calibri" w:cstheme="minorHAnsi"/>
          <w:color w:val="3E474C"/>
          <w:sz w:val="22"/>
          <w:szCs w:val="22"/>
        </w:rPr>
      </w:pPr>
      <w:r w:rsidRPr="00B30D8A">
        <w:rPr>
          <w:rFonts w:eastAsia="Calibri" w:cstheme="minorHAnsi"/>
          <w:color w:val="3E474C"/>
          <w:sz w:val="22"/>
          <w:szCs w:val="22"/>
        </w:rPr>
        <w:t>This program is funded by California utility customers and administered by Pacific Gas and Electric Company, San Diego Gas &amp; Electric Company (SDG&amp;E®), and Southern California Edison Company under the auspices of the California Public Utilities Commission and in support of the California Energy Commission.</w:t>
      </w:r>
    </w:p>
    <w:p w14:paraId="72DB76C2" w14:textId="77777777" w:rsidR="00D65C88" w:rsidRPr="00FA78B0" w:rsidRDefault="00D65C88" w:rsidP="00D65C88">
      <w:pPr>
        <w:rPr>
          <w:rFonts w:eastAsia="Calibri" w:cstheme="minorHAnsi"/>
          <w:color w:val="3E474C"/>
        </w:rPr>
        <w:sectPr w:rsidR="00D65C88" w:rsidRPr="00FA78B0" w:rsidSect="00EB3FAD">
          <w:headerReference w:type="default" r:id="rId14"/>
          <w:footerReference w:type="even" r:id="rId15"/>
          <w:footerReference w:type="default" r:id="rId16"/>
          <w:headerReference w:type="first" r:id="rId17"/>
          <w:pgSz w:w="12240" w:h="15840"/>
          <w:pgMar w:top="1440" w:right="1440" w:bottom="1440" w:left="1440" w:header="720" w:footer="720" w:gutter="0"/>
          <w:pgNumType w:start="1"/>
          <w:cols w:space="720"/>
          <w:docGrid w:linePitch="360"/>
        </w:sectPr>
      </w:pPr>
    </w:p>
    <w:p w14:paraId="6867DD6C" w14:textId="1B3D6BC1" w:rsidR="00D65C88" w:rsidRPr="00640CD2" w:rsidRDefault="00D65C88" w:rsidP="00640CD2">
      <w:pPr>
        <w:pStyle w:val="Title"/>
        <w:rPr>
          <w:rStyle w:val="Instructions"/>
          <w:i w:val="0"/>
          <w:iCs w:val="0"/>
          <w:sz w:val="36"/>
        </w:rPr>
      </w:pPr>
      <w:r w:rsidRPr="00640CD2">
        <w:rPr>
          <w:rStyle w:val="Instructions"/>
          <w:i w:val="0"/>
          <w:iCs w:val="0"/>
          <w:sz w:val="36"/>
        </w:rPr>
        <w:t>Model Ordinance</w:t>
      </w:r>
    </w:p>
    <w:p w14:paraId="2BD4BB00" w14:textId="1EFB5562" w:rsidR="002C3CF4" w:rsidRPr="00640CD2" w:rsidRDefault="002C3CF4" w:rsidP="00640CD2">
      <w:pPr>
        <w:pStyle w:val="Title"/>
        <w:rPr>
          <w:color w:val="0070C0"/>
        </w:rPr>
      </w:pPr>
      <w:r w:rsidRPr="00640CD2">
        <w:rPr>
          <w:rStyle w:val="Instructions"/>
          <w:i w:val="0"/>
          <w:iCs w:val="0"/>
          <w:sz w:val="36"/>
        </w:rPr>
        <w:t>Electric Vehicle Charging: Intervening Cycle Tiers 1 &amp;</w:t>
      </w:r>
      <w:r w:rsidR="00237D49">
        <w:rPr>
          <w:rStyle w:val="Instructions"/>
          <w:i w:val="0"/>
          <w:iCs w:val="0"/>
          <w:sz w:val="36"/>
        </w:rPr>
        <w:t xml:space="preserve"> </w:t>
      </w:r>
      <w:r w:rsidRPr="00640CD2">
        <w:rPr>
          <w:rStyle w:val="Instructions"/>
          <w:i w:val="0"/>
          <w:iCs w:val="0"/>
          <w:sz w:val="36"/>
        </w:rPr>
        <w:t>2</w:t>
      </w:r>
    </w:p>
    <w:p w14:paraId="22660E34" w14:textId="701A5620" w:rsidR="00D65C88" w:rsidRPr="00FA78B0" w:rsidRDefault="00D65C88" w:rsidP="00D65C88">
      <w:pPr>
        <w:jc w:val="center"/>
        <w:rPr>
          <w:rFonts w:cstheme="minorHAnsi"/>
          <w:sz w:val="28"/>
          <w:szCs w:val="28"/>
        </w:rPr>
      </w:pPr>
      <w:r w:rsidRPr="00FA78B0">
        <w:rPr>
          <w:rFonts w:cstheme="minorHAnsi"/>
          <w:sz w:val="28"/>
          <w:szCs w:val="28"/>
        </w:rPr>
        <w:t xml:space="preserve">Version </w:t>
      </w:r>
      <w:r w:rsidR="00CC4C13">
        <w:rPr>
          <w:rFonts w:cstheme="minorHAnsi"/>
          <w:sz w:val="28"/>
          <w:szCs w:val="28"/>
        </w:rPr>
        <w:t>2.0</w:t>
      </w:r>
    </w:p>
    <w:p w14:paraId="403B97E3" w14:textId="365942F7" w:rsidR="00D65C88" w:rsidRPr="00FA78B0" w:rsidRDefault="006F1049" w:rsidP="00D65C88">
      <w:pPr>
        <w:jc w:val="center"/>
        <w:rPr>
          <w:rFonts w:cstheme="minorHAnsi"/>
          <w:sz w:val="28"/>
          <w:szCs w:val="28"/>
        </w:rPr>
      </w:pPr>
      <w:r w:rsidRPr="00A5307F">
        <w:rPr>
          <w:rFonts w:cstheme="minorHAnsi"/>
          <w:sz w:val="28"/>
          <w:szCs w:val="28"/>
        </w:rPr>
        <w:t>February 2024</w:t>
      </w:r>
    </w:p>
    <w:p w14:paraId="493EC5BE" w14:textId="77777777" w:rsidR="00D65C88" w:rsidRPr="00284F68" w:rsidRDefault="00D65C88" w:rsidP="00284F68">
      <w:pPr>
        <w:pStyle w:val="Heading1"/>
      </w:pPr>
      <w:r w:rsidRPr="00284F68">
        <w:rPr>
          <w:rStyle w:val="Instructions"/>
          <w:i w:val="0"/>
          <w:iCs w:val="0"/>
        </w:rPr>
        <w:t>Changes from Prior Versions</w:t>
      </w:r>
    </w:p>
    <w:p w14:paraId="0834E18B" w14:textId="5B7FB5D1" w:rsidR="00D65C88" w:rsidRDefault="00D65C88" w:rsidP="00D65C88">
      <w:pPr>
        <w:rPr>
          <w:rFonts w:eastAsia="Calibri" w:cstheme="minorHAnsi"/>
          <w:color w:val="000000" w:themeColor="text1"/>
        </w:rPr>
      </w:pPr>
      <w:r w:rsidRPr="00FA78B0">
        <w:rPr>
          <w:rFonts w:eastAsia="Calibri" w:cstheme="minorHAnsi"/>
          <w:color w:val="000000" w:themeColor="text1"/>
        </w:rPr>
        <w:t xml:space="preserve">Please check </w:t>
      </w:r>
      <w:hyperlink r:id="rId18">
        <w:r w:rsidRPr="00FA78B0">
          <w:rPr>
            <w:rStyle w:val="Hyperlink"/>
            <w:rFonts w:eastAsia="Calibri" w:cstheme="minorHAnsi"/>
          </w:rPr>
          <w:t>LocalEnergyCodes.com</w:t>
        </w:r>
      </w:hyperlink>
      <w:r w:rsidRPr="00FA78B0">
        <w:rPr>
          <w:rFonts w:eastAsia="Calibri" w:cstheme="minorHAnsi"/>
          <w:color w:val="000000" w:themeColor="text1"/>
        </w:rPr>
        <w:t xml:space="preserve"> to obtain the latest version of this document.</w:t>
      </w:r>
      <w:r w:rsidR="00F448ED">
        <w:rPr>
          <w:rFonts w:eastAsia="Calibri" w:cstheme="minorHAnsi"/>
          <w:color w:val="000000" w:themeColor="text1"/>
        </w:rPr>
        <w:t xml:space="preserve"> </w:t>
      </w:r>
    </w:p>
    <w:p w14:paraId="4DD793BB" w14:textId="77777777" w:rsidR="009E3584" w:rsidRDefault="009E3584" w:rsidP="009E3584"/>
    <w:p w14:paraId="03FDCF76" w14:textId="79A79158" w:rsidR="009E3584" w:rsidRPr="00C84F53" w:rsidRDefault="009E3584" w:rsidP="009E3584">
      <w:r>
        <w:t>C</w:t>
      </w:r>
      <w:r w:rsidRPr="00C84F53">
        <w:t>hanges since Version 1.</w:t>
      </w:r>
      <w:r w:rsidR="00B1756D">
        <w:t>0</w:t>
      </w:r>
      <w:r>
        <w:t>:</w:t>
      </w:r>
    </w:p>
    <w:p w14:paraId="3E8BA738" w14:textId="2B16CFFC" w:rsidR="00B1756D" w:rsidRPr="00C86B5F" w:rsidRDefault="00B1756D" w:rsidP="00905939">
      <w:pPr>
        <w:pStyle w:val="ListParagraph"/>
        <w:numPr>
          <w:ilvl w:val="0"/>
          <w:numId w:val="24"/>
        </w:numPr>
        <w:rPr>
          <w:rFonts w:eastAsia="Calibri" w:cstheme="minorHAnsi"/>
          <w:color w:val="000000" w:themeColor="text1"/>
        </w:rPr>
      </w:pPr>
      <w:r w:rsidRPr="00C86B5F">
        <w:rPr>
          <w:rFonts w:eastAsia="Calibri" w:cstheme="minorHAnsi"/>
          <w:color w:val="000000" w:themeColor="text1"/>
        </w:rPr>
        <w:t>Version 2.0: Added clarifications from draft 2025 Express Terms</w:t>
      </w:r>
      <w:r w:rsidR="000F7A74" w:rsidRPr="00C86B5F">
        <w:rPr>
          <w:rFonts w:eastAsia="Calibri" w:cstheme="minorHAnsi"/>
          <w:color w:val="000000" w:themeColor="text1"/>
        </w:rPr>
        <w:t>, i</w:t>
      </w:r>
      <w:r w:rsidR="00E55379" w:rsidRPr="00C86B5F">
        <w:rPr>
          <w:rFonts w:eastAsia="Calibri" w:cstheme="minorHAnsi"/>
          <w:color w:val="000000" w:themeColor="text1"/>
        </w:rPr>
        <w:t xml:space="preserve">ncluding </w:t>
      </w:r>
      <w:r w:rsidR="00623DFF" w:rsidRPr="00C86B5F">
        <w:rPr>
          <w:rFonts w:eastAsia="Calibri" w:cstheme="minorHAnsi"/>
          <w:color w:val="000000" w:themeColor="text1"/>
        </w:rPr>
        <w:t>clarification</w:t>
      </w:r>
      <w:r w:rsidR="00F826F1" w:rsidRPr="00C86B5F">
        <w:rPr>
          <w:rFonts w:eastAsia="Calibri" w:cstheme="minorHAnsi"/>
          <w:color w:val="000000" w:themeColor="text1"/>
        </w:rPr>
        <w:t xml:space="preserve"> o</w:t>
      </w:r>
      <w:r w:rsidR="00BB1964" w:rsidRPr="00C86B5F">
        <w:rPr>
          <w:rFonts w:eastAsia="Calibri" w:cstheme="minorHAnsi"/>
          <w:color w:val="000000" w:themeColor="text1"/>
        </w:rPr>
        <w:t>f</w:t>
      </w:r>
      <w:r w:rsidR="00F826F1" w:rsidRPr="00C86B5F">
        <w:rPr>
          <w:rFonts w:eastAsia="Calibri" w:cstheme="minorHAnsi"/>
          <w:color w:val="000000" w:themeColor="text1"/>
        </w:rPr>
        <w:t xml:space="preserve"> the </w:t>
      </w:r>
      <w:r w:rsidR="00623DFF" w:rsidRPr="00C86B5F">
        <w:rPr>
          <w:rFonts w:eastAsia="Calibri" w:cstheme="minorHAnsi"/>
          <w:color w:val="000000" w:themeColor="text1"/>
        </w:rPr>
        <w:t xml:space="preserve">scope of the direct </w:t>
      </w:r>
      <w:r w:rsidR="00F826F1" w:rsidRPr="00C86B5F">
        <w:rPr>
          <w:rFonts w:eastAsia="Calibri" w:cstheme="minorHAnsi"/>
          <w:color w:val="000000" w:themeColor="text1"/>
        </w:rPr>
        <w:t xml:space="preserve">metering requirement for multifamily spaces, </w:t>
      </w:r>
      <w:r w:rsidR="00404017" w:rsidRPr="00C86B5F">
        <w:rPr>
          <w:rFonts w:eastAsia="Calibri" w:cstheme="minorHAnsi"/>
          <w:color w:val="000000" w:themeColor="text1"/>
        </w:rPr>
        <w:t>updating the nonresidential mechanical lifts</w:t>
      </w:r>
      <w:r w:rsidR="00BB1964" w:rsidRPr="00C86B5F">
        <w:rPr>
          <w:rFonts w:eastAsia="Calibri" w:cstheme="minorHAnsi"/>
          <w:color w:val="000000" w:themeColor="text1"/>
        </w:rPr>
        <w:t xml:space="preserve"> exception</w:t>
      </w:r>
      <w:r w:rsidR="00404017" w:rsidRPr="00C86B5F">
        <w:rPr>
          <w:rFonts w:eastAsia="Calibri" w:cstheme="minorHAnsi"/>
          <w:color w:val="000000" w:themeColor="text1"/>
        </w:rPr>
        <w:t>,</w:t>
      </w:r>
      <w:r w:rsidR="002F44DB" w:rsidRPr="00C86B5F">
        <w:rPr>
          <w:rFonts w:eastAsia="Calibri" w:cstheme="minorHAnsi"/>
          <w:color w:val="000000" w:themeColor="text1"/>
        </w:rPr>
        <w:t xml:space="preserve"> and</w:t>
      </w:r>
      <w:r w:rsidR="00404017" w:rsidRPr="00C86B5F">
        <w:rPr>
          <w:rFonts w:eastAsia="Calibri" w:cstheme="minorHAnsi"/>
          <w:color w:val="000000" w:themeColor="text1"/>
        </w:rPr>
        <w:t xml:space="preserve"> clarifying </w:t>
      </w:r>
      <w:r w:rsidR="00B766DD" w:rsidRPr="00C86B5F">
        <w:rPr>
          <w:rFonts w:eastAsia="Calibri" w:cstheme="minorHAnsi"/>
          <w:color w:val="000000" w:themeColor="text1"/>
        </w:rPr>
        <w:t>ESVE credits under the nonresidential kVA option</w:t>
      </w:r>
      <w:r w:rsidRPr="00C86B5F">
        <w:rPr>
          <w:rFonts w:eastAsia="Calibri" w:cstheme="minorHAnsi"/>
          <w:color w:val="000000" w:themeColor="text1"/>
        </w:rPr>
        <w:t xml:space="preserve">. </w:t>
      </w:r>
      <w:r w:rsidR="008C4FA5" w:rsidRPr="00C86B5F">
        <w:rPr>
          <w:rFonts w:eastAsia="Calibri" w:cstheme="minorHAnsi"/>
          <w:color w:val="000000" w:themeColor="text1"/>
        </w:rPr>
        <w:t xml:space="preserve">Added policy change from draft 2025 Express Terms to require that nonresidential low power Level 2 receptacles </w:t>
      </w:r>
      <w:r w:rsidR="002E2DCA" w:rsidRPr="00C86B5F">
        <w:rPr>
          <w:rFonts w:eastAsia="Calibri" w:cstheme="minorHAnsi"/>
          <w:color w:val="000000" w:themeColor="text1"/>
        </w:rPr>
        <w:t>have raceway and/or conduit sized for full power Level 2 circuits. Other p</w:t>
      </w:r>
      <w:r w:rsidRPr="00C86B5F">
        <w:rPr>
          <w:rFonts w:eastAsia="Calibri" w:cstheme="minorHAnsi"/>
          <w:color w:val="000000" w:themeColor="text1"/>
        </w:rPr>
        <w:t>olicy changes from the draft Express Terms are not included here.</w:t>
      </w:r>
    </w:p>
    <w:p w14:paraId="59A3B26E" w14:textId="3DF5A6B3" w:rsidR="009E3584" w:rsidRPr="00905939" w:rsidRDefault="009E3584" w:rsidP="00905939">
      <w:pPr>
        <w:pStyle w:val="ListParagraph"/>
        <w:numPr>
          <w:ilvl w:val="0"/>
          <w:numId w:val="24"/>
        </w:numPr>
        <w:rPr>
          <w:rFonts w:eastAsia="Calibri" w:cstheme="minorHAnsi"/>
          <w:color w:val="000000" w:themeColor="text1"/>
        </w:rPr>
      </w:pPr>
      <w:r w:rsidRPr="00905939">
        <w:rPr>
          <w:rFonts w:ascii="Calibri" w:eastAsia="Calibri" w:hAnsi="Calibri" w:cs="Calibri"/>
          <w:color w:val="000000" w:themeColor="text1"/>
        </w:rPr>
        <w:t>Version 1.1:</w:t>
      </w:r>
      <w:r w:rsidR="00905939">
        <w:rPr>
          <w:rFonts w:ascii="Calibri" w:eastAsia="Calibri" w:hAnsi="Calibri" w:cs="Calibri"/>
          <w:color w:val="000000" w:themeColor="text1"/>
        </w:rPr>
        <w:t xml:space="preserve"> Added text to require larger conductors in </w:t>
      </w:r>
      <w:r w:rsidR="00A945F7">
        <w:rPr>
          <w:rFonts w:ascii="Calibri" w:eastAsia="Calibri" w:hAnsi="Calibri" w:cs="Calibri"/>
          <w:color w:val="000000" w:themeColor="text1"/>
        </w:rPr>
        <w:t xml:space="preserve">multifamily </w:t>
      </w:r>
      <w:r w:rsidR="00905939">
        <w:rPr>
          <w:rFonts w:ascii="Calibri" w:eastAsia="Calibri" w:hAnsi="Calibri" w:cs="Calibri"/>
          <w:color w:val="000000" w:themeColor="text1"/>
        </w:rPr>
        <w:t>low power Level 2 circuits.</w:t>
      </w:r>
    </w:p>
    <w:p w14:paraId="2276AF88" w14:textId="77777777" w:rsidR="00D65C88" w:rsidRPr="00A01769" w:rsidRDefault="00D65C88" w:rsidP="00A01769">
      <w:pPr>
        <w:pStyle w:val="Heading1"/>
        <w:rPr>
          <w:rStyle w:val="Instructions"/>
          <w:b w:val="0"/>
          <w:bCs w:val="0"/>
          <w:i w:val="0"/>
          <w:iCs w:val="0"/>
        </w:rPr>
      </w:pPr>
      <w:bookmarkStart w:id="0" w:name="_Toc1187150530"/>
      <w:bookmarkStart w:id="1" w:name="_Toc543197784"/>
      <w:r w:rsidRPr="00A01769">
        <w:rPr>
          <w:rStyle w:val="Instructions"/>
          <w:i w:val="0"/>
          <w:iCs w:val="0"/>
        </w:rPr>
        <w:t>Scope</w:t>
      </w:r>
      <w:bookmarkEnd w:id="0"/>
      <w:bookmarkEnd w:id="1"/>
    </w:p>
    <w:p w14:paraId="68B81F1A" w14:textId="1064C3CB" w:rsidR="00D65C88" w:rsidRPr="002C3CF4" w:rsidRDefault="002C3CF4" w:rsidP="00AE7B84">
      <w:pPr>
        <w:pStyle w:val="ListParagraph"/>
        <w:numPr>
          <w:ilvl w:val="0"/>
          <w:numId w:val="4"/>
        </w:numPr>
        <w:contextualSpacing/>
        <w:rPr>
          <w:rStyle w:val="Instructions"/>
          <w:i w:val="0"/>
          <w:iCs w:val="0"/>
          <w:color w:val="auto"/>
          <w:sz w:val="22"/>
        </w:rPr>
      </w:pPr>
      <w:r>
        <w:rPr>
          <w:rStyle w:val="Instructions"/>
          <w:rFonts w:cstheme="minorHAnsi"/>
          <w:i w:val="0"/>
          <w:iCs w:val="0"/>
          <w:color w:val="auto"/>
          <w:szCs w:val="24"/>
        </w:rPr>
        <w:t>Amends CALGreen to adopt the voluntary Tier 1 or Tier 2 requirements of the intervening cycle code revisions for electric vehicle charging</w:t>
      </w:r>
    </w:p>
    <w:p w14:paraId="0D3F6E65" w14:textId="0E2FFB84" w:rsidR="002C3CF4" w:rsidRPr="00A94AC2" w:rsidRDefault="002C3CF4" w:rsidP="00AE7B84">
      <w:pPr>
        <w:pStyle w:val="ListParagraph"/>
        <w:numPr>
          <w:ilvl w:val="0"/>
          <w:numId w:val="4"/>
        </w:numPr>
        <w:contextualSpacing/>
        <w:rPr>
          <w:rStyle w:val="Instructions"/>
          <w:rFonts w:cstheme="minorHAnsi"/>
          <w:i w:val="0"/>
          <w:iCs w:val="0"/>
          <w:color w:val="auto"/>
          <w:szCs w:val="24"/>
        </w:rPr>
      </w:pPr>
      <w:r w:rsidRPr="00365204">
        <w:rPr>
          <w:rStyle w:val="Instructions"/>
          <w:rFonts w:cstheme="minorHAnsi"/>
          <w:i w:val="0"/>
          <w:iCs w:val="0"/>
          <w:color w:val="auto"/>
          <w:szCs w:val="24"/>
        </w:rPr>
        <w:t>No changes to single family buildings</w:t>
      </w:r>
    </w:p>
    <w:p w14:paraId="4FBC7261" w14:textId="34D9ECA7" w:rsidR="00A94AC2" w:rsidRPr="0074012F" w:rsidRDefault="004570AD" w:rsidP="00AE7B84">
      <w:pPr>
        <w:pStyle w:val="ListParagraph"/>
        <w:numPr>
          <w:ilvl w:val="0"/>
          <w:numId w:val="4"/>
        </w:numPr>
        <w:contextualSpacing/>
      </w:pPr>
      <w:r w:rsidRPr="00A94AC2">
        <w:rPr>
          <w:rFonts w:cstheme="minorHAnsi"/>
          <w:color w:val="000000"/>
          <w:sz w:val="24"/>
          <w:szCs w:val="24"/>
        </w:rPr>
        <w:t>C</w:t>
      </w:r>
      <w:r w:rsidR="00D809AE">
        <w:rPr>
          <w:rFonts w:cstheme="minorHAnsi"/>
          <w:color w:val="000000"/>
          <w:sz w:val="24"/>
          <w:szCs w:val="24"/>
        </w:rPr>
        <w:t>ombines</w:t>
      </w:r>
      <w:r w:rsidRPr="00A94AC2">
        <w:rPr>
          <w:rFonts w:cstheme="minorHAnsi"/>
          <w:color w:val="000000"/>
          <w:sz w:val="24"/>
          <w:szCs w:val="24"/>
        </w:rPr>
        <w:t xml:space="preserve"> small and large multifamily buildings, and </w:t>
      </w:r>
      <w:r w:rsidR="006E40F8">
        <w:rPr>
          <w:rFonts w:cstheme="minorHAnsi"/>
          <w:color w:val="000000"/>
          <w:sz w:val="24"/>
          <w:szCs w:val="24"/>
        </w:rPr>
        <w:t xml:space="preserve">combines small and large </w:t>
      </w:r>
      <w:r w:rsidRPr="00A94AC2">
        <w:rPr>
          <w:rFonts w:cstheme="minorHAnsi"/>
          <w:color w:val="000000"/>
          <w:sz w:val="24"/>
          <w:szCs w:val="24"/>
        </w:rPr>
        <w:t>hotel and motel buildings</w:t>
      </w:r>
    </w:p>
    <w:p w14:paraId="7D19E0E7" w14:textId="654629BF" w:rsidR="002C3CF4" w:rsidRPr="00962F6D" w:rsidRDefault="002C3CF4" w:rsidP="00AE7B84">
      <w:pPr>
        <w:pStyle w:val="ListParagraph"/>
        <w:numPr>
          <w:ilvl w:val="0"/>
          <w:numId w:val="4"/>
        </w:numPr>
        <w:contextualSpacing/>
        <w:rPr>
          <w:rStyle w:val="Instructions"/>
          <w:i w:val="0"/>
          <w:iCs w:val="0"/>
          <w:color w:val="auto"/>
          <w:sz w:val="22"/>
        </w:rPr>
      </w:pPr>
      <w:r w:rsidRPr="00365204">
        <w:rPr>
          <w:rStyle w:val="Instructions"/>
          <w:rFonts w:cstheme="minorHAnsi"/>
          <w:i w:val="0"/>
          <w:iCs w:val="0"/>
          <w:color w:val="auto"/>
          <w:szCs w:val="24"/>
        </w:rPr>
        <w:t>Increases requirements</w:t>
      </w:r>
      <w:r>
        <w:rPr>
          <w:rStyle w:val="Instructions"/>
          <w:rFonts w:cstheme="minorHAnsi"/>
          <w:i w:val="0"/>
          <w:iCs w:val="0"/>
          <w:color w:val="auto"/>
          <w:szCs w:val="24"/>
        </w:rPr>
        <w:t xml:space="preserve"> for multifamily, </w:t>
      </w:r>
      <w:r w:rsidR="003475D1">
        <w:rPr>
          <w:rStyle w:val="Instructions"/>
          <w:rFonts w:cstheme="minorHAnsi"/>
          <w:i w:val="0"/>
          <w:iCs w:val="0"/>
          <w:color w:val="auto"/>
          <w:szCs w:val="24"/>
        </w:rPr>
        <w:t>h</w:t>
      </w:r>
      <w:r>
        <w:rPr>
          <w:rStyle w:val="Instructions"/>
          <w:rFonts w:cstheme="minorHAnsi"/>
          <w:i w:val="0"/>
          <w:iCs w:val="0"/>
          <w:color w:val="auto"/>
          <w:szCs w:val="24"/>
        </w:rPr>
        <w:t>otel and motel buildings</w:t>
      </w:r>
    </w:p>
    <w:p w14:paraId="7B901284" w14:textId="16A4C355" w:rsidR="00962F6D" w:rsidRPr="0082445B" w:rsidRDefault="00962F6D" w:rsidP="00AE7B84">
      <w:pPr>
        <w:pStyle w:val="ListParagraph"/>
        <w:numPr>
          <w:ilvl w:val="0"/>
          <w:numId w:val="4"/>
        </w:numPr>
        <w:contextualSpacing/>
        <w:rPr>
          <w:rStyle w:val="Instructions"/>
          <w:i w:val="0"/>
          <w:iCs w:val="0"/>
          <w:color w:val="auto"/>
          <w:sz w:val="22"/>
        </w:rPr>
      </w:pPr>
      <w:r w:rsidRPr="0082445B">
        <w:rPr>
          <w:rStyle w:val="Instructions"/>
          <w:rFonts w:cstheme="minorHAnsi"/>
          <w:i w:val="0"/>
          <w:iCs w:val="0"/>
          <w:color w:val="auto"/>
          <w:szCs w:val="24"/>
        </w:rPr>
        <w:t>Requires</w:t>
      </w:r>
      <w:r w:rsidR="00A74BDE" w:rsidRPr="0082445B">
        <w:rPr>
          <w:rStyle w:val="Instructions"/>
          <w:rFonts w:cstheme="minorHAnsi"/>
          <w:i w:val="0"/>
          <w:iCs w:val="0"/>
          <w:color w:val="auto"/>
          <w:szCs w:val="24"/>
        </w:rPr>
        <w:t xml:space="preserve"> that assigned multifamily spaces are served by the dwelling unit service panel (</w:t>
      </w:r>
      <w:r w:rsidR="00344656" w:rsidRPr="0082445B">
        <w:rPr>
          <w:rStyle w:val="Instructions"/>
          <w:rFonts w:cstheme="minorHAnsi"/>
          <w:i w:val="0"/>
          <w:iCs w:val="0"/>
          <w:color w:val="auto"/>
          <w:szCs w:val="24"/>
        </w:rPr>
        <w:t xml:space="preserve">directly </w:t>
      </w:r>
      <w:r w:rsidR="00A74BDE" w:rsidRPr="0082445B">
        <w:rPr>
          <w:rStyle w:val="Instructions"/>
          <w:rFonts w:cstheme="minorHAnsi"/>
          <w:i w:val="0"/>
          <w:iCs w:val="0"/>
          <w:color w:val="auto"/>
          <w:szCs w:val="24"/>
        </w:rPr>
        <w:t>metered).</w:t>
      </w:r>
    </w:p>
    <w:p w14:paraId="3D272AF9" w14:textId="442CD45B" w:rsidR="001410FF" w:rsidRPr="0082445B" w:rsidRDefault="001410FF" w:rsidP="00AE7B84">
      <w:pPr>
        <w:pStyle w:val="ListParagraph"/>
        <w:numPr>
          <w:ilvl w:val="0"/>
          <w:numId w:val="4"/>
        </w:numPr>
        <w:contextualSpacing/>
        <w:rPr>
          <w:rStyle w:val="Instructions"/>
          <w:i w:val="0"/>
          <w:iCs w:val="0"/>
          <w:color w:val="auto"/>
          <w:sz w:val="22"/>
        </w:rPr>
      </w:pPr>
      <w:r w:rsidRPr="0082445B">
        <w:rPr>
          <w:rStyle w:val="Instructions"/>
          <w:rFonts w:cstheme="minorHAnsi"/>
          <w:i w:val="0"/>
          <w:iCs w:val="0"/>
          <w:color w:val="auto"/>
          <w:szCs w:val="24"/>
        </w:rPr>
        <w:t>Sets a</w:t>
      </w:r>
      <w:r w:rsidR="00FD5B26" w:rsidRPr="0082445B">
        <w:rPr>
          <w:rStyle w:val="Instructions"/>
          <w:rFonts w:cstheme="minorHAnsi"/>
          <w:i w:val="0"/>
          <w:iCs w:val="0"/>
          <w:color w:val="auto"/>
          <w:szCs w:val="24"/>
        </w:rPr>
        <w:t xml:space="preserve"> minimum of one EV space for small nonresidential projects</w:t>
      </w:r>
    </w:p>
    <w:p w14:paraId="6F73132A" w14:textId="328BE659" w:rsidR="002C3CF4" w:rsidRPr="0082445B" w:rsidRDefault="002C3CF4" w:rsidP="00AE7B84">
      <w:pPr>
        <w:pStyle w:val="ListParagraph"/>
        <w:numPr>
          <w:ilvl w:val="0"/>
          <w:numId w:val="4"/>
        </w:numPr>
        <w:contextualSpacing/>
        <w:rPr>
          <w:rStyle w:val="Instructions"/>
          <w:i w:val="0"/>
          <w:iCs w:val="0"/>
          <w:color w:val="auto"/>
          <w:sz w:val="22"/>
        </w:rPr>
      </w:pPr>
      <w:r w:rsidRPr="0082445B">
        <w:rPr>
          <w:rStyle w:val="Instructions"/>
          <w:rFonts w:cstheme="minorHAnsi"/>
          <w:i w:val="0"/>
          <w:iCs w:val="0"/>
          <w:color w:val="auto"/>
          <w:szCs w:val="24"/>
        </w:rPr>
        <w:t>Adds requirements for nonresidential additions and alterations</w:t>
      </w:r>
    </w:p>
    <w:p w14:paraId="26DDE544" w14:textId="331DD6D9" w:rsidR="002C3CF4" w:rsidRPr="0082445B" w:rsidRDefault="002C3CF4" w:rsidP="00AE7B84">
      <w:pPr>
        <w:pStyle w:val="ListParagraph"/>
        <w:numPr>
          <w:ilvl w:val="0"/>
          <w:numId w:val="4"/>
        </w:numPr>
        <w:contextualSpacing/>
        <w:rPr>
          <w:rStyle w:val="Instructions"/>
          <w:i w:val="0"/>
          <w:iCs w:val="0"/>
          <w:color w:val="auto"/>
          <w:sz w:val="22"/>
        </w:rPr>
      </w:pPr>
      <w:r w:rsidRPr="0082445B">
        <w:rPr>
          <w:rStyle w:val="Instructions"/>
          <w:rFonts w:cstheme="minorHAnsi"/>
          <w:i w:val="0"/>
          <w:iCs w:val="0"/>
          <w:color w:val="auto"/>
          <w:szCs w:val="24"/>
        </w:rPr>
        <w:t>Expands occupancies subject to medium- and heavy-duty off-street parking requirements</w:t>
      </w:r>
    </w:p>
    <w:p w14:paraId="15BC3A90" w14:textId="42E33DBE" w:rsidR="00AA5785" w:rsidRPr="0082445B" w:rsidRDefault="005048F6" w:rsidP="00AE7B84">
      <w:pPr>
        <w:pStyle w:val="ListParagraph"/>
        <w:numPr>
          <w:ilvl w:val="0"/>
          <w:numId w:val="4"/>
        </w:numPr>
        <w:contextualSpacing/>
        <w:rPr>
          <w:rStyle w:val="Instructions"/>
          <w:i w:val="0"/>
          <w:iCs w:val="0"/>
          <w:color w:val="auto"/>
          <w:sz w:val="22"/>
        </w:rPr>
      </w:pPr>
      <w:r w:rsidRPr="0082445B">
        <w:rPr>
          <w:rStyle w:val="Instructions"/>
          <w:rFonts w:cstheme="minorHAnsi"/>
          <w:i w:val="0"/>
          <w:iCs w:val="0"/>
          <w:color w:val="auto"/>
          <w:szCs w:val="24"/>
        </w:rPr>
        <w:t>Includes an optional requirement that</w:t>
      </w:r>
      <w:r w:rsidR="00AA5785" w:rsidRPr="0082445B">
        <w:rPr>
          <w:rStyle w:val="Instructions"/>
          <w:rFonts w:cstheme="minorHAnsi"/>
          <w:i w:val="0"/>
          <w:iCs w:val="0"/>
          <w:color w:val="auto"/>
          <w:szCs w:val="24"/>
        </w:rPr>
        <w:t xml:space="preserve"> low power Level 2 Receptacles </w:t>
      </w:r>
      <w:r w:rsidR="002F2FF8" w:rsidRPr="0082445B">
        <w:rPr>
          <w:rStyle w:val="Instructions"/>
          <w:rFonts w:cstheme="minorHAnsi"/>
          <w:i w:val="0"/>
          <w:iCs w:val="0"/>
          <w:color w:val="auto"/>
          <w:szCs w:val="24"/>
        </w:rPr>
        <w:t>have conductors and/or conduit that can support full power Level 2 charging.</w:t>
      </w:r>
    </w:p>
    <w:p w14:paraId="071285EA" w14:textId="6C2C501C" w:rsidR="002C3CF4" w:rsidRPr="0056223B" w:rsidRDefault="002C3CF4" w:rsidP="00AE7B84">
      <w:pPr>
        <w:pStyle w:val="ListParagraph"/>
        <w:numPr>
          <w:ilvl w:val="0"/>
          <w:numId w:val="4"/>
        </w:numPr>
        <w:contextualSpacing/>
        <w:rPr>
          <w:rStyle w:val="Instructions"/>
          <w:i w:val="0"/>
          <w:iCs w:val="0"/>
          <w:color w:val="auto"/>
          <w:sz w:val="22"/>
        </w:rPr>
      </w:pPr>
      <w:r>
        <w:rPr>
          <w:rStyle w:val="Instructions"/>
          <w:rFonts w:cstheme="minorHAnsi"/>
          <w:i w:val="0"/>
          <w:iCs w:val="0"/>
          <w:color w:val="auto"/>
          <w:szCs w:val="24"/>
        </w:rPr>
        <w:t>Various other changes and clarifications</w:t>
      </w:r>
    </w:p>
    <w:p w14:paraId="69C6CADE" w14:textId="77777777" w:rsidR="0056223B" w:rsidRPr="00FA78B0" w:rsidRDefault="0056223B" w:rsidP="0056223B">
      <w:pPr>
        <w:pStyle w:val="ListParagraph"/>
        <w:ind w:firstLine="0"/>
        <w:contextualSpacing/>
      </w:pPr>
    </w:p>
    <w:p w14:paraId="31A3159A" w14:textId="01EB1081" w:rsidR="00D65C88" w:rsidRDefault="00D65C88" w:rsidP="002A606B">
      <w:pPr>
        <w:shd w:val="clear" w:color="auto" w:fill="FFFFFF"/>
        <w:rPr>
          <w:rFonts w:cstheme="minorHAnsi"/>
          <w:color w:val="1E2124"/>
          <w:szCs w:val="24"/>
        </w:rPr>
      </w:pPr>
      <w:r w:rsidRPr="00FA78B0">
        <w:rPr>
          <w:rFonts w:eastAsia="Calibri" w:cstheme="minorHAnsi"/>
          <w:color w:val="000000" w:themeColor="text1"/>
        </w:rPr>
        <w:t>The model reach code amends the 2022 California Energy Code</w:t>
      </w:r>
      <w:r w:rsidR="00490711">
        <w:rPr>
          <w:rFonts w:eastAsia="Calibri" w:cstheme="minorHAnsi"/>
          <w:color w:val="000000" w:themeColor="text1"/>
        </w:rPr>
        <w:t xml:space="preserve">, </w:t>
      </w:r>
      <w:r w:rsidR="002C3CF4">
        <w:rPr>
          <w:rFonts w:eastAsia="Calibri" w:cstheme="minorHAnsi"/>
          <w:color w:val="000000" w:themeColor="text1"/>
        </w:rPr>
        <w:t>Part 11, Green Building Standards Code (CALGreen).</w:t>
      </w:r>
      <w:r w:rsidR="00F448ED">
        <w:rPr>
          <w:rFonts w:eastAsia="Calibri" w:cstheme="minorHAnsi"/>
          <w:color w:val="000000" w:themeColor="text1"/>
        </w:rPr>
        <w:t xml:space="preserve"> </w:t>
      </w:r>
      <w:r w:rsidR="002C3CF4">
        <w:rPr>
          <w:rFonts w:eastAsia="Calibri" w:cstheme="minorHAnsi"/>
          <w:color w:val="000000" w:themeColor="text1"/>
        </w:rPr>
        <w:t xml:space="preserve">The State </w:t>
      </w:r>
      <w:r w:rsidR="00C02CF9">
        <w:rPr>
          <w:rFonts w:eastAsia="Calibri" w:cstheme="minorHAnsi"/>
          <w:color w:val="000000" w:themeColor="text1"/>
        </w:rPr>
        <w:t>has</w:t>
      </w:r>
      <w:r w:rsidR="002C3CF4">
        <w:rPr>
          <w:rFonts w:eastAsia="Calibri" w:cstheme="minorHAnsi"/>
          <w:color w:val="000000" w:themeColor="text1"/>
        </w:rPr>
        <w:t xml:space="preserve"> update</w:t>
      </w:r>
      <w:r w:rsidR="00C02CF9">
        <w:rPr>
          <w:rFonts w:eastAsia="Calibri" w:cstheme="minorHAnsi"/>
          <w:color w:val="000000" w:themeColor="text1"/>
        </w:rPr>
        <w:t>d</w:t>
      </w:r>
      <w:r w:rsidR="002C3CF4">
        <w:rPr>
          <w:rFonts w:eastAsia="Calibri" w:cstheme="minorHAnsi"/>
          <w:color w:val="000000" w:themeColor="text1"/>
        </w:rPr>
        <w:t xml:space="preserve"> the requirements for EVs and other parts of CALGreen in the intervening cycle, </w:t>
      </w:r>
      <w:r w:rsidR="00A46913">
        <w:rPr>
          <w:rFonts w:eastAsia="Calibri" w:cstheme="minorHAnsi"/>
          <w:color w:val="000000" w:themeColor="text1"/>
        </w:rPr>
        <w:t xml:space="preserve">scheduled </w:t>
      </w:r>
      <w:r w:rsidR="002C3CF4">
        <w:rPr>
          <w:rFonts w:eastAsia="Calibri" w:cstheme="minorHAnsi"/>
          <w:color w:val="000000" w:themeColor="text1"/>
        </w:rPr>
        <w:t xml:space="preserve">to take effect </w:t>
      </w:r>
      <w:r w:rsidR="002C3CF4" w:rsidRPr="00E118A0">
        <w:rPr>
          <w:rFonts w:eastAsia="Calibri" w:cstheme="minorHAnsi"/>
          <w:b/>
          <w:bCs/>
          <w:color w:val="000000" w:themeColor="text1"/>
        </w:rPr>
        <w:t>July 1, 2024</w:t>
      </w:r>
      <w:r w:rsidR="00640CD2">
        <w:rPr>
          <w:rFonts w:eastAsia="Calibri" w:cstheme="minorHAnsi"/>
          <w:color w:val="000000" w:themeColor="text1"/>
        </w:rPr>
        <w:t>.</w:t>
      </w:r>
      <w:r w:rsidR="00F448ED">
        <w:rPr>
          <w:rFonts w:eastAsia="Calibri" w:cstheme="minorHAnsi"/>
          <w:color w:val="000000" w:themeColor="text1"/>
        </w:rPr>
        <w:t xml:space="preserve"> </w:t>
      </w:r>
      <w:r w:rsidR="002C3CF4">
        <w:rPr>
          <w:rFonts w:eastAsia="Calibri" w:cstheme="minorHAnsi"/>
          <w:color w:val="000000" w:themeColor="text1"/>
        </w:rPr>
        <w:t>Jurisdictions may adopt the revisions in advance.</w:t>
      </w:r>
      <w:r w:rsidR="00255D48">
        <w:rPr>
          <w:rFonts w:cstheme="minorHAnsi"/>
          <w:color w:val="1E2124"/>
          <w:szCs w:val="24"/>
        </w:rPr>
        <w:t xml:space="preserve"> </w:t>
      </w:r>
    </w:p>
    <w:p w14:paraId="10297C9E" w14:textId="77777777" w:rsidR="003E6000" w:rsidRDefault="003E6000" w:rsidP="002A606B">
      <w:pPr>
        <w:shd w:val="clear" w:color="auto" w:fill="FFFFFF"/>
        <w:rPr>
          <w:rFonts w:cstheme="minorHAnsi"/>
          <w:color w:val="1E2124"/>
          <w:szCs w:val="24"/>
        </w:rPr>
      </w:pPr>
    </w:p>
    <w:p w14:paraId="47580AFF" w14:textId="31ADD33C" w:rsidR="003E6000" w:rsidRDefault="003E6000" w:rsidP="002A606B">
      <w:pPr>
        <w:shd w:val="clear" w:color="auto" w:fill="FFFFFF"/>
        <w:rPr>
          <w:rFonts w:cstheme="minorHAnsi"/>
          <w:color w:val="1E2124"/>
          <w:szCs w:val="24"/>
        </w:rPr>
      </w:pPr>
      <w:r w:rsidRPr="003E6000">
        <w:rPr>
          <w:rFonts w:cstheme="minorHAnsi"/>
          <w:color w:val="1E2124"/>
          <w:szCs w:val="24"/>
        </w:rPr>
        <w:t>The changes</w:t>
      </w:r>
      <w:r w:rsidR="00A46913">
        <w:rPr>
          <w:rFonts w:cstheme="minorHAnsi"/>
          <w:color w:val="1E2124"/>
          <w:szCs w:val="24"/>
        </w:rPr>
        <w:t xml:space="preserve"> to the State co</w:t>
      </w:r>
      <w:r w:rsidR="00174C83">
        <w:rPr>
          <w:rFonts w:cstheme="minorHAnsi"/>
          <w:color w:val="1E2124"/>
          <w:szCs w:val="24"/>
        </w:rPr>
        <w:t>de</w:t>
      </w:r>
      <w:r w:rsidRPr="003E6000">
        <w:rPr>
          <w:rFonts w:cstheme="minorHAnsi"/>
          <w:color w:val="1E2124"/>
          <w:szCs w:val="24"/>
        </w:rPr>
        <w:t xml:space="preserve"> include more EV spaces, requirements for nonresidential additions and alterations, expansion of medium</w:t>
      </w:r>
      <w:r w:rsidR="00D71884">
        <w:rPr>
          <w:rFonts w:cstheme="minorHAnsi"/>
          <w:color w:val="1E2124"/>
          <w:szCs w:val="24"/>
        </w:rPr>
        <w:t>-</w:t>
      </w:r>
      <w:r w:rsidRPr="003E6000">
        <w:rPr>
          <w:rFonts w:cstheme="minorHAnsi"/>
          <w:color w:val="1E2124"/>
          <w:szCs w:val="24"/>
        </w:rPr>
        <w:t xml:space="preserve"> and heavy</w:t>
      </w:r>
      <w:r w:rsidR="00D71884">
        <w:rPr>
          <w:rFonts w:cstheme="minorHAnsi"/>
          <w:color w:val="1E2124"/>
          <w:szCs w:val="24"/>
        </w:rPr>
        <w:t>-</w:t>
      </w:r>
      <w:r w:rsidRPr="003E6000">
        <w:rPr>
          <w:rFonts w:cstheme="minorHAnsi"/>
          <w:color w:val="1E2124"/>
          <w:szCs w:val="24"/>
        </w:rPr>
        <w:t>duty requirements for certain nonresidential occupancies</w:t>
      </w:r>
      <w:r w:rsidR="0013509B">
        <w:rPr>
          <w:rFonts w:cstheme="minorHAnsi"/>
          <w:color w:val="1E2124"/>
          <w:szCs w:val="24"/>
        </w:rPr>
        <w:t>,</w:t>
      </w:r>
      <w:r w:rsidRPr="003E6000">
        <w:rPr>
          <w:rFonts w:cstheme="minorHAnsi"/>
          <w:color w:val="1E2124"/>
          <w:szCs w:val="24"/>
        </w:rPr>
        <w:t xml:space="preserve"> and various modifications and clarifications.</w:t>
      </w:r>
      <w:r w:rsidR="00F448ED">
        <w:rPr>
          <w:rFonts w:cstheme="minorHAnsi"/>
          <w:color w:val="1E2124"/>
          <w:szCs w:val="24"/>
        </w:rPr>
        <w:t xml:space="preserve"> </w:t>
      </w:r>
    </w:p>
    <w:p w14:paraId="09996EFD" w14:textId="77777777" w:rsidR="003E6000" w:rsidRDefault="003E6000" w:rsidP="002A606B">
      <w:pPr>
        <w:shd w:val="clear" w:color="auto" w:fill="FFFFFF"/>
        <w:rPr>
          <w:rFonts w:cstheme="minorHAnsi"/>
          <w:color w:val="1E2124"/>
          <w:szCs w:val="24"/>
        </w:rPr>
      </w:pPr>
    </w:p>
    <w:p w14:paraId="3342195C" w14:textId="4C889969" w:rsidR="003E6000" w:rsidRDefault="003E6000" w:rsidP="002A606B">
      <w:pPr>
        <w:shd w:val="clear" w:color="auto" w:fill="FFFFFF"/>
        <w:rPr>
          <w:rFonts w:cstheme="minorHAnsi"/>
          <w:color w:val="1E2124"/>
          <w:szCs w:val="24"/>
        </w:rPr>
      </w:pPr>
      <w:r w:rsidRPr="003E6000">
        <w:rPr>
          <w:rFonts w:cstheme="minorHAnsi"/>
          <w:color w:val="1E2124"/>
          <w:szCs w:val="24"/>
        </w:rPr>
        <w:t xml:space="preserve">The </w:t>
      </w:r>
      <w:r w:rsidR="00365204">
        <w:rPr>
          <w:rFonts w:cstheme="minorHAnsi"/>
          <w:color w:val="1E2124"/>
          <w:szCs w:val="24"/>
        </w:rPr>
        <w:t>template</w:t>
      </w:r>
      <w:r w:rsidRPr="003E6000">
        <w:rPr>
          <w:rFonts w:cstheme="minorHAnsi"/>
          <w:color w:val="1E2124"/>
          <w:szCs w:val="24"/>
        </w:rPr>
        <w:t xml:space="preserve"> does not include all of the text in </w:t>
      </w:r>
      <w:r w:rsidR="00933945">
        <w:rPr>
          <w:rFonts w:cstheme="minorHAnsi"/>
          <w:color w:val="1E2124"/>
          <w:szCs w:val="24"/>
        </w:rPr>
        <w:t>code revisions</w:t>
      </w:r>
      <w:r w:rsidRPr="003E6000">
        <w:rPr>
          <w:rFonts w:cstheme="minorHAnsi"/>
          <w:color w:val="1E2124"/>
          <w:szCs w:val="24"/>
        </w:rPr>
        <w:t xml:space="preserve"> (most notably the changes to the </w:t>
      </w:r>
      <w:r w:rsidR="00451A8F">
        <w:rPr>
          <w:rFonts w:cstheme="minorHAnsi"/>
          <w:color w:val="1E2124"/>
          <w:szCs w:val="24"/>
        </w:rPr>
        <w:t xml:space="preserve">EV </w:t>
      </w:r>
      <w:r w:rsidRPr="003E6000">
        <w:rPr>
          <w:rFonts w:cstheme="minorHAnsi"/>
          <w:color w:val="1E2124"/>
          <w:szCs w:val="24"/>
        </w:rPr>
        <w:t xml:space="preserve">mandatory requirements </w:t>
      </w:r>
      <w:r w:rsidR="00451A8F">
        <w:rPr>
          <w:rFonts w:cstheme="minorHAnsi"/>
          <w:color w:val="1E2124"/>
          <w:szCs w:val="24"/>
        </w:rPr>
        <w:t>that</w:t>
      </w:r>
      <w:r w:rsidRPr="003E6000">
        <w:rPr>
          <w:rFonts w:cstheme="minorHAnsi"/>
          <w:color w:val="1E2124"/>
          <w:szCs w:val="24"/>
        </w:rPr>
        <w:t xml:space="preserve"> are irrelevant to Tier</w:t>
      </w:r>
      <w:r>
        <w:rPr>
          <w:rFonts w:cstheme="minorHAnsi"/>
          <w:color w:val="1E2124"/>
          <w:szCs w:val="24"/>
        </w:rPr>
        <w:t>s</w:t>
      </w:r>
      <w:r w:rsidRPr="003E6000">
        <w:rPr>
          <w:rFonts w:cstheme="minorHAnsi"/>
          <w:color w:val="1E2124"/>
          <w:szCs w:val="24"/>
        </w:rPr>
        <w:t xml:space="preserve"> 1</w:t>
      </w:r>
      <w:r>
        <w:rPr>
          <w:rFonts w:cstheme="minorHAnsi"/>
          <w:color w:val="1E2124"/>
          <w:szCs w:val="24"/>
        </w:rPr>
        <w:t xml:space="preserve"> and 2</w:t>
      </w:r>
      <w:r w:rsidR="006A156B">
        <w:rPr>
          <w:rFonts w:cstheme="minorHAnsi"/>
          <w:color w:val="1E2124"/>
          <w:szCs w:val="24"/>
        </w:rPr>
        <w:t>, as well as changes that are not related to EV charging</w:t>
      </w:r>
      <w:r w:rsidRPr="003E6000">
        <w:rPr>
          <w:rFonts w:cstheme="minorHAnsi"/>
          <w:color w:val="1E2124"/>
          <w:szCs w:val="24"/>
        </w:rPr>
        <w:t>) and modifies the text and organization to improve clarity.</w:t>
      </w:r>
    </w:p>
    <w:p w14:paraId="2B9CDAB8" w14:textId="77777777" w:rsidR="0056223B" w:rsidRPr="002A606B" w:rsidRDefault="0056223B" w:rsidP="002A606B">
      <w:pPr>
        <w:shd w:val="clear" w:color="auto" w:fill="FFFFFF"/>
        <w:rPr>
          <w:rFonts w:ascii="Nunito" w:hAnsi="Nunito"/>
          <w:color w:val="1E2124"/>
          <w:sz w:val="21"/>
          <w:szCs w:val="21"/>
        </w:rPr>
      </w:pPr>
    </w:p>
    <w:p w14:paraId="58808485" w14:textId="5C91BC5F" w:rsidR="00D65C88" w:rsidRDefault="00D65C88" w:rsidP="00D65C88">
      <w:pPr>
        <w:rPr>
          <w:rFonts w:eastAsia="Calibri" w:cstheme="minorHAnsi"/>
          <w:color w:val="000000" w:themeColor="text1"/>
        </w:rPr>
      </w:pPr>
      <w:r w:rsidRPr="00FA78B0">
        <w:rPr>
          <w:rFonts w:eastAsia="Calibri" w:cstheme="minorHAnsi"/>
          <w:color w:val="000000" w:themeColor="text1"/>
        </w:rPr>
        <w:t xml:space="preserve">Any amendments to the </w:t>
      </w:r>
      <w:r w:rsidR="00933945">
        <w:rPr>
          <w:rFonts w:eastAsia="Calibri" w:cstheme="minorHAnsi"/>
          <w:color w:val="000000" w:themeColor="text1"/>
        </w:rPr>
        <w:t xml:space="preserve">existing </w:t>
      </w:r>
      <w:r w:rsidR="000A0627">
        <w:rPr>
          <w:rFonts w:eastAsia="Calibri" w:cstheme="minorHAnsi"/>
          <w:color w:val="000000" w:themeColor="text1"/>
        </w:rPr>
        <w:t>State</w:t>
      </w:r>
      <w:r w:rsidRPr="00FA78B0">
        <w:rPr>
          <w:rFonts w:eastAsia="Calibri" w:cstheme="minorHAnsi"/>
          <w:color w:val="000000" w:themeColor="text1"/>
        </w:rPr>
        <w:t xml:space="preserve"> Code appear in strikeouts (deletions) and underlines (additions)</w:t>
      </w:r>
      <w:r w:rsidR="007E5D72">
        <w:rPr>
          <w:rFonts w:eastAsia="Calibri" w:cstheme="minorHAnsi"/>
          <w:color w:val="000000" w:themeColor="text1"/>
        </w:rPr>
        <w:t>; a strikeout version must be submitted to the State</w:t>
      </w:r>
      <w:r w:rsidR="001A1A03">
        <w:rPr>
          <w:rFonts w:eastAsia="Calibri" w:cstheme="minorHAnsi"/>
          <w:color w:val="000000" w:themeColor="text1"/>
        </w:rPr>
        <w:t xml:space="preserve"> (it may be </w:t>
      </w:r>
      <w:r w:rsidR="0017564F">
        <w:rPr>
          <w:rFonts w:eastAsia="Calibri" w:cstheme="minorHAnsi"/>
          <w:color w:val="000000" w:themeColor="text1"/>
        </w:rPr>
        <w:t>a referenced attachment to the staff report)</w:t>
      </w:r>
      <w:r w:rsidR="007E5D72">
        <w:rPr>
          <w:rFonts w:eastAsia="Calibri" w:cstheme="minorHAnsi"/>
          <w:color w:val="000000" w:themeColor="text1"/>
        </w:rPr>
        <w:t>.</w:t>
      </w:r>
      <w:r w:rsidR="00F448ED">
        <w:rPr>
          <w:rFonts w:eastAsia="Calibri" w:cstheme="minorHAnsi"/>
          <w:color w:val="000000" w:themeColor="text1"/>
        </w:rPr>
        <w:t xml:space="preserve"> </w:t>
      </w:r>
      <w:r w:rsidR="007E5D72">
        <w:rPr>
          <w:rFonts w:eastAsia="Calibri" w:cstheme="minorHAnsi"/>
          <w:color w:val="000000" w:themeColor="text1"/>
        </w:rPr>
        <w:t xml:space="preserve">All amendments to the </w:t>
      </w:r>
      <w:r w:rsidR="001A1A03">
        <w:rPr>
          <w:rFonts w:eastAsia="Calibri" w:cstheme="minorHAnsi"/>
          <w:color w:val="000000" w:themeColor="text1"/>
        </w:rPr>
        <w:t xml:space="preserve">State Code </w:t>
      </w:r>
      <w:r w:rsidRPr="00FA78B0">
        <w:rPr>
          <w:rFonts w:eastAsia="Calibri" w:cstheme="minorHAnsi"/>
          <w:color w:val="000000" w:themeColor="text1"/>
        </w:rPr>
        <w:t xml:space="preserve">must be filed with the </w:t>
      </w:r>
      <w:hyperlink r:id="rId19">
        <w:r w:rsidRPr="00FA78B0">
          <w:rPr>
            <w:rStyle w:val="Hyperlink"/>
            <w:rFonts w:eastAsia="Calibri" w:cstheme="minorHAnsi"/>
          </w:rPr>
          <w:t>California Building Standards Commission</w:t>
        </w:r>
      </w:hyperlink>
      <w:r w:rsidRPr="00FA78B0">
        <w:rPr>
          <w:rFonts w:eastAsia="Calibri" w:cstheme="minorHAnsi"/>
          <w:color w:val="000000" w:themeColor="text1"/>
        </w:rPr>
        <w:t>.</w:t>
      </w:r>
      <w:r w:rsidR="00F448ED">
        <w:rPr>
          <w:rFonts w:eastAsia="Calibri" w:cstheme="minorHAnsi"/>
          <w:color w:val="000000" w:themeColor="text1"/>
        </w:rPr>
        <w:t xml:space="preserve"> </w:t>
      </w:r>
    </w:p>
    <w:p w14:paraId="53AAE1D7" w14:textId="77777777" w:rsidR="0056223B" w:rsidRDefault="0056223B" w:rsidP="00D65C88">
      <w:pPr>
        <w:rPr>
          <w:rFonts w:eastAsia="Calibri" w:cstheme="minorHAnsi"/>
          <w:color w:val="000000" w:themeColor="text1"/>
        </w:rPr>
      </w:pPr>
    </w:p>
    <w:p w14:paraId="709F0E2A" w14:textId="45B3A06B" w:rsidR="002F38E7" w:rsidRDefault="002F38E7" w:rsidP="00D65C88">
      <w:pPr>
        <w:rPr>
          <w:rFonts w:eastAsia="Calibri" w:cstheme="minorHAnsi"/>
          <w:color w:val="000000" w:themeColor="text1"/>
        </w:rPr>
      </w:pPr>
      <w:r>
        <w:rPr>
          <w:rFonts w:eastAsia="Calibri" w:cstheme="minorHAnsi"/>
          <w:color w:val="000000" w:themeColor="text1"/>
        </w:rPr>
        <w:t xml:space="preserve">This template assumes there </w:t>
      </w:r>
      <w:r w:rsidR="00FF13F0">
        <w:rPr>
          <w:rFonts w:eastAsia="Calibri" w:cstheme="minorHAnsi"/>
          <w:color w:val="000000" w:themeColor="text1"/>
        </w:rPr>
        <w:t>we</w:t>
      </w:r>
      <w:r>
        <w:rPr>
          <w:rFonts w:eastAsia="Calibri" w:cstheme="minorHAnsi"/>
          <w:color w:val="000000" w:themeColor="text1"/>
        </w:rPr>
        <w:t>re no prior amendments to the CALGreen EV requirements.</w:t>
      </w:r>
      <w:r w:rsidR="00F448ED">
        <w:rPr>
          <w:rFonts w:eastAsia="Calibri" w:cstheme="minorHAnsi"/>
          <w:color w:val="000000" w:themeColor="text1"/>
        </w:rPr>
        <w:t xml:space="preserve"> </w:t>
      </w:r>
      <w:r>
        <w:rPr>
          <w:rFonts w:eastAsia="Calibri" w:cstheme="minorHAnsi"/>
          <w:color w:val="000000" w:themeColor="text1"/>
        </w:rPr>
        <w:t>If that is not the case, it may be best to repeal and readopt the amended sections.</w:t>
      </w:r>
    </w:p>
    <w:p w14:paraId="71519B21" w14:textId="77777777" w:rsidR="00174C83" w:rsidRDefault="00174C83" w:rsidP="00D65C88">
      <w:pPr>
        <w:rPr>
          <w:rFonts w:eastAsia="Calibri" w:cstheme="minorHAnsi"/>
          <w:color w:val="000000" w:themeColor="text1"/>
        </w:rPr>
      </w:pPr>
    </w:p>
    <w:p w14:paraId="7FD8FD8E" w14:textId="77777777" w:rsidR="00316F8A" w:rsidRDefault="001A388D" w:rsidP="00316F8A">
      <w:pPr>
        <w:rPr>
          <w:rFonts w:eastAsia="Calibri" w:cstheme="minorHAnsi"/>
          <w:color w:val="000000" w:themeColor="text1"/>
        </w:rPr>
      </w:pPr>
      <w:r>
        <w:rPr>
          <w:rFonts w:eastAsia="Calibri" w:cstheme="minorHAnsi"/>
          <w:color w:val="000000" w:themeColor="text1"/>
        </w:rPr>
        <w:t xml:space="preserve">Amendments to the State Code require that the governing body of the local jurisdiction </w:t>
      </w:r>
      <w:r w:rsidR="00A931E3">
        <w:rPr>
          <w:rFonts w:eastAsia="Calibri" w:cstheme="minorHAnsi"/>
          <w:color w:val="000000" w:themeColor="text1"/>
        </w:rPr>
        <w:t xml:space="preserve">make express findings and cite </w:t>
      </w:r>
      <w:r w:rsidR="003A1B12">
        <w:rPr>
          <w:rFonts w:eastAsia="Calibri" w:cstheme="minorHAnsi"/>
          <w:color w:val="000000" w:themeColor="text1"/>
        </w:rPr>
        <w:t>the authorities used to adopt the ordinance.</w:t>
      </w:r>
      <w:r w:rsidR="00A931E3">
        <w:rPr>
          <w:rFonts w:eastAsia="Calibri" w:cstheme="minorHAnsi"/>
          <w:color w:val="000000" w:themeColor="text1"/>
        </w:rPr>
        <w:t xml:space="preserve"> </w:t>
      </w:r>
      <w:r w:rsidR="00705C57">
        <w:rPr>
          <w:rFonts w:eastAsia="Calibri" w:cstheme="minorHAnsi"/>
          <w:color w:val="000000" w:themeColor="text1"/>
        </w:rPr>
        <w:t>These vary depending upon the part of the code that is being modified.</w:t>
      </w:r>
      <w:r w:rsidR="00F448ED">
        <w:rPr>
          <w:rFonts w:eastAsia="Calibri" w:cstheme="minorHAnsi"/>
          <w:color w:val="000000" w:themeColor="text1"/>
        </w:rPr>
        <w:t xml:space="preserve"> </w:t>
      </w:r>
      <w:r w:rsidR="00316F8A">
        <w:rPr>
          <w:rFonts w:eastAsia="Calibri" w:cstheme="minorHAnsi"/>
          <w:color w:val="000000" w:themeColor="text1"/>
        </w:rPr>
        <w:t xml:space="preserve">Refer to </w:t>
      </w:r>
      <w:hyperlink r:id="rId20" w:history="1">
        <w:r w:rsidR="00316F8A" w:rsidRPr="009231CF">
          <w:rPr>
            <w:rStyle w:val="Hyperlink"/>
            <w:rFonts w:eastAsia="Calibri" w:cstheme="minorHAnsi"/>
          </w:rPr>
          <w:t>Guide for Local Amendments of Building Standards 2022</w:t>
        </w:r>
      </w:hyperlink>
      <w:r w:rsidR="00316F8A">
        <w:rPr>
          <w:rFonts w:eastAsia="Calibri" w:cstheme="minorHAnsi"/>
          <w:color w:val="000000" w:themeColor="text1"/>
        </w:rPr>
        <w:t xml:space="preserve"> for more information.</w:t>
      </w:r>
    </w:p>
    <w:p w14:paraId="4A45ECD1" w14:textId="42843CA1" w:rsidR="003E6000" w:rsidRDefault="003E6000" w:rsidP="00D65C88">
      <w:pPr>
        <w:rPr>
          <w:rFonts w:eastAsia="Calibri" w:cstheme="minorHAnsi"/>
          <w:color w:val="000000" w:themeColor="text1"/>
        </w:rPr>
      </w:pPr>
    </w:p>
    <w:p w14:paraId="2D7762AC" w14:textId="106F2844" w:rsidR="00D65C88" w:rsidRDefault="00D65C88" w:rsidP="00D65C88">
      <w:pPr>
        <w:rPr>
          <w:rFonts w:eastAsia="Calibri" w:cstheme="minorHAnsi"/>
          <w:color w:val="000000" w:themeColor="text1"/>
        </w:rPr>
      </w:pPr>
      <w:r w:rsidRPr="00FA78B0">
        <w:rPr>
          <w:rFonts w:eastAsia="Calibri" w:cstheme="minorHAnsi"/>
          <w:color w:val="000000" w:themeColor="text1"/>
        </w:rPr>
        <w:t xml:space="preserve">Jurisdictions may wish to modify </w:t>
      </w:r>
      <w:r w:rsidR="00081C51">
        <w:rPr>
          <w:rFonts w:eastAsia="Calibri" w:cstheme="minorHAnsi"/>
          <w:color w:val="000000" w:themeColor="text1"/>
        </w:rPr>
        <w:t xml:space="preserve">certain </w:t>
      </w:r>
      <w:r w:rsidRPr="00FA78B0">
        <w:rPr>
          <w:rFonts w:eastAsia="Calibri" w:cstheme="minorHAnsi"/>
          <w:color w:val="000000" w:themeColor="text1"/>
        </w:rPr>
        <w:t>elements of the</w:t>
      </w:r>
      <w:r w:rsidR="00081C51">
        <w:rPr>
          <w:rFonts w:eastAsia="Calibri" w:cstheme="minorHAnsi"/>
          <w:color w:val="000000" w:themeColor="text1"/>
        </w:rPr>
        <w:t xml:space="preserve"> model</w:t>
      </w:r>
      <w:r w:rsidRPr="00FA78B0">
        <w:rPr>
          <w:rFonts w:eastAsia="Calibri" w:cstheme="minorHAnsi"/>
          <w:color w:val="000000" w:themeColor="text1"/>
        </w:rPr>
        <w:t xml:space="preserve"> ordinance.</w:t>
      </w:r>
      <w:r w:rsidR="00F448ED">
        <w:rPr>
          <w:rFonts w:eastAsia="Calibri" w:cstheme="minorHAnsi"/>
          <w:color w:val="000000" w:themeColor="text1"/>
        </w:rPr>
        <w:t xml:space="preserve"> </w:t>
      </w:r>
      <w:r w:rsidRPr="00FA78B0">
        <w:rPr>
          <w:rFonts w:eastAsia="Calibri" w:cstheme="minorHAnsi"/>
          <w:color w:val="000000" w:themeColor="text1"/>
        </w:rPr>
        <w:t xml:space="preserve">When modifying the language, ensure all references are maintained and that the ordinance still meets the </w:t>
      </w:r>
      <w:r w:rsidR="00720991">
        <w:rPr>
          <w:rFonts w:eastAsia="Calibri" w:cstheme="minorHAnsi"/>
          <w:color w:val="000000" w:themeColor="text1"/>
        </w:rPr>
        <w:t>mandatory</w:t>
      </w:r>
      <w:r w:rsidR="009A3E43">
        <w:rPr>
          <w:rFonts w:eastAsia="Calibri" w:cstheme="minorHAnsi"/>
          <w:color w:val="000000" w:themeColor="text1"/>
        </w:rPr>
        <w:t xml:space="preserve"> State </w:t>
      </w:r>
      <w:r w:rsidRPr="00FA78B0">
        <w:rPr>
          <w:rFonts w:eastAsia="Calibri" w:cstheme="minorHAnsi"/>
          <w:color w:val="000000" w:themeColor="text1"/>
        </w:rPr>
        <w:t xml:space="preserve">requirements. </w:t>
      </w:r>
      <w:r w:rsidR="00720991">
        <w:rPr>
          <w:rFonts w:eastAsia="Calibri" w:cstheme="minorHAnsi"/>
          <w:color w:val="000000" w:themeColor="text1"/>
        </w:rPr>
        <w:t xml:space="preserve">Mandatory requirements are specified in </w:t>
      </w:r>
      <w:r w:rsidR="00C331F5">
        <w:rPr>
          <w:rFonts w:eastAsia="Calibri" w:cstheme="minorHAnsi"/>
          <w:color w:val="000000" w:themeColor="text1"/>
        </w:rPr>
        <w:t xml:space="preserve">the State Code under </w:t>
      </w:r>
      <w:r w:rsidR="00720991">
        <w:rPr>
          <w:rFonts w:eastAsia="Calibri" w:cstheme="minorHAnsi"/>
          <w:color w:val="000000" w:themeColor="text1"/>
        </w:rPr>
        <w:t xml:space="preserve">Section </w:t>
      </w:r>
      <w:r w:rsidR="00B603C0">
        <w:rPr>
          <w:rFonts w:eastAsia="Calibri" w:cstheme="minorHAnsi"/>
          <w:color w:val="000000" w:themeColor="text1"/>
        </w:rPr>
        <w:t>4.106</w:t>
      </w:r>
      <w:r w:rsidR="008F276B">
        <w:rPr>
          <w:rFonts w:eastAsia="Calibri" w:cstheme="minorHAnsi"/>
          <w:color w:val="000000" w:themeColor="text1"/>
        </w:rPr>
        <w:t>.4 (residential, hotels and motels)</w:t>
      </w:r>
      <w:r w:rsidR="00B603C0">
        <w:rPr>
          <w:rFonts w:eastAsia="Calibri" w:cstheme="minorHAnsi"/>
          <w:color w:val="000000" w:themeColor="text1"/>
        </w:rPr>
        <w:t xml:space="preserve"> and 5.106</w:t>
      </w:r>
      <w:r w:rsidR="00DF5CC4">
        <w:rPr>
          <w:rFonts w:eastAsia="Calibri" w:cstheme="minorHAnsi"/>
          <w:color w:val="000000" w:themeColor="text1"/>
        </w:rPr>
        <w:t>.5.3 (nonresidential)</w:t>
      </w:r>
      <w:r w:rsidR="00C331F5">
        <w:rPr>
          <w:rFonts w:eastAsia="Calibri" w:cstheme="minorHAnsi"/>
          <w:color w:val="000000" w:themeColor="text1"/>
        </w:rPr>
        <w:t>.</w:t>
      </w:r>
    </w:p>
    <w:p w14:paraId="66D063E1" w14:textId="77777777" w:rsidR="0056223B" w:rsidRPr="00FA78B0" w:rsidRDefault="0056223B" w:rsidP="00D65C88">
      <w:pPr>
        <w:rPr>
          <w:rFonts w:eastAsia="Calibri" w:cstheme="minorHAnsi"/>
          <w:color w:val="000000" w:themeColor="text1"/>
        </w:rPr>
      </w:pPr>
    </w:p>
    <w:p w14:paraId="24487E3F" w14:textId="71FE67DE" w:rsidR="00D65C88" w:rsidRDefault="00D65C88" w:rsidP="00D65C88">
      <w:pPr>
        <w:rPr>
          <w:rFonts w:eastAsia="Calibri" w:cstheme="minorHAnsi"/>
          <w:color w:val="000000" w:themeColor="text1"/>
        </w:rPr>
      </w:pPr>
      <w:r w:rsidRPr="00FA78B0">
        <w:rPr>
          <w:rFonts w:eastAsia="Calibri" w:cstheme="minorHAnsi"/>
          <w:color w:val="000000" w:themeColor="text1"/>
        </w:rPr>
        <w:t>The headings, footnotes and instructions (</w:t>
      </w:r>
      <w:r w:rsidRPr="00FA78B0">
        <w:rPr>
          <w:rStyle w:val="Instructions"/>
          <w:rFonts w:cstheme="minorHAnsi"/>
        </w:rPr>
        <w:t>in blue</w:t>
      </w:r>
      <w:r w:rsidRPr="00FA78B0">
        <w:rPr>
          <w:rFonts w:eastAsia="Calibri" w:cstheme="minorHAnsi"/>
          <w:color w:val="000000" w:themeColor="text1"/>
        </w:rPr>
        <w:t>) are for staff reference and should be removed from the final ordinance.</w:t>
      </w:r>
    </w:p>
    <w:p w14:paraId="5A168493" w14:textId="77777777" w:rsidR="0056223B" w:rsidRPr="00FA78B0" w:rsidRDefault="0056223B" w:rsidP="00D65C88">
      <w:pPr>
        <w:rPr>
          <w:rFonts w:eastAsia="Calibri" w:cstheme="minorHAnsi"/>
          <w:color w:val="000000" w:themeColor="text1"/>
        </w:rPr>
      </w:pPr>
    </w:p>
    <w:p w14:paraId="4B6C1F55" w14:textId="4B71E892" w:rsidR="00113569" w:rsidRDefault="00D65C88" w:rsidP="00113569">
      <w:pPr>
        <w:rPr>
          <w:rFonts w:cstheme="minorHAnsi"/>
        </w:rPr>
      </w:pPr>
      <w:r w:rsidRPr="00FA78B0">
        <w:rPr>
          <w:rFonts w:cstheme="minorHAnsi"/>
        </w:rPr>
        <w:t>The draft ordinance text</w:t>
      </w:r>
      <w:r w:rsidR="00FE6BE9">
        <w:rPr>
          <w:rFonts w:cstheme="minorHAnsi"/>
        </w:rPr>
        <w:t>, findings</w:t>
      </w:r>
      <w:r w:rsidRPr="00FA78B0">
        <w:rPr>
          <w:rFonts w:cstheme="minorHAnsi"/>
        </w:rPr>
        <w:t xml:space="preserve"> and CEQA determination language are provided as examples only.</w:t>
      </w:r>
      <w:r w:rsidR="00F448ED">
        <w:rPr>
          <w:rFonts w:cstheme="minorHAnsi"/>
        </w:rPr>
        <w:t xml:space="preserve"> </w:t>
      </w:r>
      <w:r w:rsidRPr="00FA78B0">
        <w:rPr>
          <w:rFonts w:cstheme="minorHAnsi"/>
        </w:rPr>
        <w:t>Ensure all ordinance materials are reviewed and verified by relevant jurisdiction staff and the city/county attorney.</w:t>
      </w:r>
    </w:p>
    <w:p w14:paraId="6EDED24C" w14:textId="77777777" w:rsidR="00113569" w:rsidRDefault="00113569" w:rsidP="00113569">
      <w:pPr>
        <w:sectPr w:rsidR="00113569" w:rsidSect="00EB3FAD">
          <w:headerReference w:type="even" r:id="rId21"/>
          <w:headerReference w:type="default" r:id="rId22"/>
          <w:footerReference w:type="default" r:id="rId23"/>
          <w:headerReference w:type="first" r:id="rId24"/>
          <w:footerReference w:type="first" r:id="rId25"/>
          <w:pgSz w:w="12240" w:h="15840" w:code="1"/>
          <w:pgMar w:top="1440" w:right="1440" w:bottom="1440" w:left="1440" w:header="0" w:footer="720" w:gutter="0"/>
          <w:pgNumType w:start="1"/>
          <w:cols w:space="720"/>
          <w:titlePg/>
          <w:docGrid w:linePitch="326"/>
        </w:sectPr>
      </w:pPr>
    </w:p>
    <w:p w14:paraId="175A0CA6" w14:textId="0CCA6407" w:rsidR="00671CE3" w:rsidRPr="00113569" w:rsidRDefault="00671CE3" w:rsidP="00113569">
      <w:pPr>
        <w:pStyle w:val="Heading1"/>
      </w:pPr>
      <w:r>
        <w:t>TIER 1 Amendments</w:t>
      </w:r>
    </w:p>
    <w:p w14:paraId="016C6985" w14:textId="77777777" w:rsidR="00671CE3" w:rsidRDefault="00671CE3" w:rsidP="00113569">
      <w:pPr>
        <w:rPr>
          <w:i/>
          <w:iCs/>
        </w:rPr>
      </w:pPr>
    </w:p>
    <w:p w14:paraId="4EC868CF" w14:textId="77777777" w:rsidR="00671CE3" w:rsidRDefault="00671CE3" w:rsidP="00853022">
      <w:pPr>
        <w:jc w:val="center"/>
        <w:rPr>
          <w:i/>
          <w:iCs/>
        </w:rPr>
      </w:pPr>
    </w:p>
    <w:p w14:paraId="318FDC79" w14:textId="3718D5A2" w:rsidR="00DC1523" w:rsidRPr="00853022" w:rsidRDefault="00DC1523" w:rsidP="00853022">
      <w:pPr>
        <w:jc w:val="center"/>
      </w:pPr>
      <w:r w:rsidRPr="0044522F">
        <w:rPr>
          <w:i/>
          <w:iCs/>
        </w:rPr>
        <w:t>ORDINANCE NO.</w:t>
      </w:r>
      <w:r w:rsidRPr="0044522F">
        <w:t xml:space="preserve"> </w:t>
      </w:r>
      <w:r w:rsidR="0044522F" w:rsidRPr="00C85D0B">
        <w:rPr>
          <w:rStyle w:val="Instructions"/>
        </w:rPr>
        <w:t>[</w:t>
      </w:r>
      <w:r w:rsidRPr="00C85D0B">
        <w:rPr>
          <w:rStyle w:val="Instructions"/>
        </w:rPr>
        <w:t>XXXX</w:t>
      </w:r>
      <w:r w:rsidR="0044522F" w:rsidRPr="00C85D0B">
        <w:rPr>
          <w:rStyle w:val="Instructions"/>
        </w:rPr>
        <w:t>]</w:t>
      </w:r>
    </w:p>
    <w:p w14:paraId="413A75E6" w14:textId="336ABA13" w:rsidR="009A0898" w:rsidRPr="00853022" w:rsidRDefault="00DC1523" w:rsidP="00853022">
      <w:pPr>
        <w:spacing w:after="240"/>
        <w:jc w:val="center"/>
        <w:rPr>
          <w:spacing w:val="1"/>
          <w:szCs w:val="24"/>
        </w:rPr>
      </w:pPr>
      <w:r>
        <w:rPr>
          <w:spacing w:val="1"/>
          <w:szCs w:val="24"/>
        </w:rPr>
        <w:t>AN ORDINANCE</w:t>
      </w:r>
      <w:r w:rsidR="00077600">
        <w:rPr>
          <w:spacing w:val="1"/>
          <w:szCs w:val="24"/>
        </w:rPr>
        <w:t xml:space="preserve"> OF THE</w:t>
      </w:r>
      <w:r>
        <w:rPr>
          <w:spacing w:val="1"/>
          <w:szCs w:val="24"/>
        </w:rPr>
        <w:t xml:space="preserve"> </w:t>
      </w:r>
      <w:r w:rsidR="0044522F" w:rsidRPr="00C85D0B">
        <w:rPr>
          <w:rStyle w:val="Instructions"/>
        </w:rPr>
        <w:t>[</w:t>
      </w:r>
      <w:r w:rsidR="00077600" w:rsidRPr="00C85D0B">
        <w:rPr>
          <w:rStyle w:val="Instructions"/>
        </w:rPr>
        <w:t xml:space="preserve">city or county] </w:t>
      </w:r>
      <w:r w:rsidR="00CC1E50">
        <w:rPr>
          <w:spacing w:val="1"/>
          <w:szCs w:val="24"/>
        </w:rPr>
        <w:t xml:space="preserve">ADOPTING AMENDMENTS TO </w:t>
      </w:r>
      <w:r w:rsidR="00CC1E50" w:rsidRPr="00A21AD5">
        <w:rPr>
          <w:spacing w:val="1"/>
          <w:szCs w:val="24"/>
        </w:rPr>
        <w:t xml:space="preserve">THE </w:t>
      </w:r>
      <w:r w:rsidR="00A21AD5" w:rsidRPr="00A21AD5">
        <w:rPr>
          <w:spacing w:val="1"/>
          <w:szCs w:val="24"/>
        </w:rPr>
        <w:t>CALIFORNIA BUILDING STANDARDS</w:t>
      </w:r>
      <w:r w:rsidR="00CC1E50" w:rsidRPr="00A21AD5">
        <w:rPr>
          <w:spacing w:val="1"/>
          <w:szCs w:val="24"/>
        </w:rPr>
        <w:t xml:space="preserve"> CODE</w:t>
      </w:r>
      <w:r w:rsidR="00CC1E50">
        <w:rPr>
          <w:spacing w:val="1"/>
          <w:szCs w:val="24"/>
        </w:rPr>
        <w:t xml:space="preserve"> </w:t>
      </w:r>
      <w:r w:rsidR="0039366C">
        <w:rPr>
          <w:spacing w:val="1"/>
          <w:szCs w:val="24"/>
        </w:rPr>
        <w:t xml:space="preserve">TO </w:t>
      </w:r>
      <w:r w:rsidR="00640CD2">
        <w:rPr>
          <w:spacing w:val="1"/>
          <w:szCs w:val="24"/>
        </w:rPr>
        <w:t>REQUIRE ADDITIONAL ELECTRIC VEHICLE CHARGING INFRASTRUCTURE</w:t>
      </w:r>
    </w:p>
    <w:p w14:paraId="39AB256F" w14:textId="0A2E0879" w:rsidR="006229BB" w:rsidRDefault="006229BB" w:rsidP="006229BB">
      <w:pPr>
        <w:pStyle w:val="Heading1"/>
      </w:pPr>
      <w:r>
        <w:t>F</w:t>
      </w:r>
      <w:r w:rsidR="003F52CD">
        <w:t>indings</w:t>
      </w:r>
    </w:p>
    <w:p w14:paraId="02B0D77A" w14:textId="1EE5DAF1" w:rsidR="00014285" w:rsidRDefault="006229BB" w:rsidP="006229BB">
      <w:pPr>
        <w:rPr>
          <w:rStyle w:val="Instructions"/>
          <w:rFonts w:eastAsia="Calibri"/>
        </w:rPr>
      </w:pPr>
      <w:r w:rsidRPr="006229BB">
        <w:rPr>
          <w:rStyle w:val="Instructions"/>
        </w:rPr>
        <w:t>Insert findings and cite authorizations</w:t>
      </w:r>
      <w:r w:rsidR="009A3E43">
        <w:rPr>
          <w:rStyle w:val="Instructions"/>
        </w:rPr>
        <w:t xml:space="preserve">. </w:t>
      </w:r>
      <w:r w:rsidR="009A3E43" w:rsidRPr="009A3E43">
        <w:rPr>
          <w:rStyle w:val="Instructions"/>
        </w:rPr>
        <w:t xml:space="preserve">See </w:t>
      </w:r>
      <w:hyperlink r:id="rId26" w:history="1">
        <w:r w:rsidR="009A3E43" w:rsidRPr="009A3E43">
          <w:rPr>
            <w:rStyle w:val="Instructions"/>
            <w:rFonts w:eastAsia="Calibri"/>
            <w:i w:val="0"/>
            <w:iCs w:val="0"/>
            <w:u w:val="single"/>
          </w:rPr>
          <w:t>Guide for Local Amendments of Building Standards 2022</w:t>
        </w:r>
      </w:hyperlink>
      <w:r w:rsidR="009A3E43" w:rsidRPr="009A3E43">
        <w:rPr>
          <w:rStyle w:val="Instructions"/>
          <w:rFonts w:eastAsia="Calibri"/>
        </w:rPr>
        <w:t xml:space="preserve"> for more information.</w:t>
      </w:r>
    </w:p>
    <w:p w14:paraId="225F4C01" w14:textId="1673D8E1" w:rsidR="00014285" w:rsidRPr="00825745" w:rsidRDefault="00825745" w:rsidP="00825745">
      <w:pPr>
        <w:pStyle w:val="Heading1"/>
        <w:rPr>
          <w:rStyle w:val="Instructions"/>
          <w:i w:val="0"/>
          <w:iCs w:val="0"/>
          <w:sz w:val="32"/>
        </w:rPr>
      </w:pPr>
      <w:r w:rsidRPr="00825745">
        <w:rPr>
          <w:rStyle w:val="Instructions"/>
          <w:i w:val="0"/>
          <w:iCs w:val="0"/>
          <w:sz w:val="32"/>
        </w:rPr>
        <w:t>Sections Amended</w:t>
      </w:r>
    </w:p>
    <w:p w14:paraId="021DC662" w14:textId="0C5E550F" w:rsidR="00640CD2" w:rsidRPr="00853022" w:rsidRDefault="00640CD2" w:rsidP="00640CD2">
      <w:pPr>
        <w:rPr>
          <w:b/>
          <w:bCs/>
          <w:szCs w:val="24"/>
        </w:rPr>
      </w:pPr>
      <w:r w:rsidRPr="0055508F">
        <w:t xml:space="preserve">The California Building Code, Title 24, Part </w:t>
      </w:r>
      <w:r w:rsidR="00DA4CDB">
        <w:t>11</w:t>
      </w:r>
      <w:r w:rsidRPr="0055508F">
        <w:t>,</w:t>
      </w:r>
      <w:r>
        <w:t xml:space="preserve"> Green Building Standards Code,</w:t>
      </w:r>
      <w:r w:rsidRPr="0055508F">
        <w:t xml:space="preserve"> adopted by the </w:t>
      </w:r>
      <w:r w:rsidRPr="0055508F">
        <w:rPr>
          <w:rStyle w:val="Instructions"/>
        </w:rPr>
        <w:t>[City/County of jurisdiction]</w:t>
      </w:r>
      <w:r w:rsidRPr="0055508F">
        <w:t xml:space="preserve"> codified under </w:t>
      </w:r>
      <w:r w:rsidRPr="0055508F">
        <w:rPr>
          <w:rStyle w:val="Instructions"/>
        </w:rPr>
        <w:t>Chapter [municipal/county code reference (if not adopted in entirety, include local code references for each section)]</w:t>
      </w:r>
      <w:r w:rsidRPr="0055508F">
        <w:t>, is amended as specified below.</w:t>
      </w:r>
      <w:r w:rsidR="00F448ED">
        <w:t xml:space="preserve"> </w:t>
      </w:r>
      <w:r w:rsidR="002F38E7" w:rsidRPr="002F38E7">
        <w:rPr>
          <w:rStyle w:val="Instructions"/>
        </w:rPr>
        <w:t>[Note, if prior amendments were made to the sections below, consider repealing those sections and readopting]</w:t>
      </w:r>
    </w:p>
    <w:p w14:paraId="0F7DCFCA" w14:textId="77777777" w:rsidR="0055508F" w:rsidRDefault="0055508F" w:rsidP="0055508F">
      <w:pPr>
        <w:pStyle w:val="NoSpacing"/>
      </w:pPr>
    </w:p>
    <w:p w14:paraId="070BA3E7" w14:textId="7C0F8C64" w:rsidR="007449C6" w:rsidRPr="00266CDC" w:rsidRDefault="007449C6" w:rsidP="007449C6">
      <w:pPr>
        <w:rPr>
          <w:szCs w:val="24"/>
        </w:rPr>
      </w:pPr>
      <w:r w:rsidRPr="00A86506">
        <w:rPr>
          <w:szCs w:val="24"/>
        </w:rPr>
        <w:t xml:space="preserve">Adoption of the </w:t>
      </w:r>
      <w:r w:rsidRPr="00266CDC">
        <w:rPr>
          <w:szCs w:val="24"/>
        </w:rPr>
        <w:t xml:space="preserve">California Code of Regulations Title-24 Part 11: California Green Building Standards Code 2022 edition as published by the International Code Conference and amended herein, including the following appendices: </w:t>
      </w:r>
    </w:p>
    <w:p w14:paraId="3DB55D66" w14:textId="686A95CD" w:rsidR="007449C6" w:rsidRPr="00266CDC" w:rsidRDefault="007449C6" w:rsidP="007449C6">
      <w:pPr>
        <w:pStyle w:val="NormalWeb"/>
        <w:rPr>
          <w:rFonts w:cstheme="minorHAnsi"/>
        </w:rPr>
      </w:pPr>
      <w:r w:rsidRPr="00266CDC">
        <w:rPr>
          <w:rFonts w:cstheme="minorHAnsi"/>
        </w:rPr>
        <w:t>Appendix Chapter A4, Residential Voluntary Measures, Tier 1, Sections A4.106.8 Electric vehicle (EV) charging for new construction, A4.601.4.1 Mandatory measures for Tier 1, and A4.601.4.2.1.4</w:t>
      </w:r>
      <w:r w:rsidR="009265BB" w:rsidRPr="00266CDC">
        <w:rPr>
          <w:rFonts w:cstheme="minorHAnsi"/>
        </w:rPr>
        <w:t xml:space="preserve"> Prerequisite and elective measures for Tier 1</w:t>
      </w:r>
      <w:r w:rsidRPr="00266CDC">
        <w:rPr>
          <w:rFonts w:cstheme="minorHAnsi"/>
        </w:rPr>
        <w:t>, as amended herein.</w:t>
      </w:r>
    </w:p>
    <w:p w14:paraId="05DFF2A5" w14:textId="6DBDB85F" w:rsidR="008969FA" w:rsidRDefault="007449C6" w:rsidP="007449C6">
      <w:pPr>
        <w:rPr>
          <w:szCs w:val="24"/>
        </w:rPr>
      </w:pPr>
      <w:r w:rsidRPr="00266CDC">
        <w:rPr>
          <w:szCs w:val="24"/>
        </w:rPr>
        <w:t xml:space="preserve">Appendix Chapter A5, Non-Residential Voluntary Measures, Tier 1 including </w:t>
      </w:r>
      <w:r w:rsidR="009265BB" w:rsidRPr="00266CDC">
        <w:rPr>
          <w:szCs w:val="24"/>
        </w:rPr>
        <w:t xml:space="preserve">Sections A5.106.5.3 Electric vehicle (EV) charging, and </w:t>
      </w:r>
      <w:r w:rsidRPr="00266CDC">
        <w:rPr>
          <w:szCs w:val="24"/>
        </w:rPr>
        <w:t>A5.</w:t>
      </w:r>
      <w:r w:rsidR="009265BB" w:rsidRPr="00266CDC">
        <w:rPr>
          <w:szCs w:val="24"/>
        </w:rPr>
        <w:t xml:space="preserve">601.4 Compliance verification, </w:t>
      </w:r>
      <w:r w:rsidRPr="00266CDC">
        <w:rPr>
          <w:szCs w:val="24"/>
        </w:rPr>
        <w:t>as amended herein.</w:t>
      </w:r>
      <w:r w:rsidR="00F448ED">
        <w:rPr>
          <w:szCs w:val="24"/>
        </w:rPr>
        <w:t xml:space="preserve"> </w:t>
      </w:r>
    </w:p>
    <w:p w14:paraId="5FAEAD75" w14:textId="3AB83908" w:rsidR="008F7D5F" w:rsidRPr="00825745" w:rsidRDefault="008F7D5F" w:rsidP="00825745">
      <w:pPr>
        <w:pStyle w:val="Heading1"/>
      </w:pPr>
      <w:r>
        <w:t>Definitions</w:t>
      </w:r>
    </w:p>
    <w:p w14:paraId="655BE94B" w14:textId="77777777" w:rsidR="007449C6" w:rsidRPr="00266CDC" w:rsidRDefault="007449C6" w:rsidP="007449C6">
      <w:pPr>
        <w:autoSpaceDE w:val="0"/>
        <w:autoSpaceDN w:val="0"/>
        <w:adjustRightInd w:val="0"/>
        <w:rPr>
          <w:bCs/>
          <w:szCs w:val="24"/>
        </w:rPr>
      </w:pPr>
      <w:r w:rsidRPr="00266CDC">
        <w:rPr>
          <w:b/>
          <w:szCs w:val="24"/>
        </w:rPr>
        <w:t>Section 202 Definitions</w:t>
      </w:r>
      <w:r w:rsidRPr="00266CDC">
        <w:rPr>
          <w:bCs/>
          <w:szCs w:val="24"/>
        </w:rPr>
        <w:t>, is amended to add or modify the following definitions to read as follows:</w:t>
      </w:r>
    </w:p>
    <w:p w14:paraId="51A518E8" w14:textId="77777777" w:rsidR="007449C6" w:rsidRPr="00266CDC" w:rsidRDefault="007449C6" w:rsidP="007449C6">
      <w:pPr>
        <w:autoSpaceDE w:val="0"/>
        <w:autoSpaceDN w:val="0"/>
        <w:adjustRightInd w:val="0"/>
        <w:ind w:left="720"/>
        <w:rPr>
          <w:b/>
          <w:szCs w:val="24"/>
        </w:rPr>
      </w:pPr>
    </w:p>
    <w:p w14:paraId="45B968ED" w14:textId="77777777" w:rsidR="007449C6" w:rsidRPr="00266CDC" w:rsidRDefault="007449C6" w:rsidP="007449C6">
      <w:pPr>
        <w:autoSpaceDE w:val="0"/>
        <w:autoSpaceDN w:val="0"/>
        <w:adjustRightInd w:val="0"/>
        <w:ind w:left="720"/>
        <w:rPr>
          <w:strike/>
          <w:szCs w:val="24"/>
        </w:rPr>
      </w:pPr>
      <w:r w:rsidRPr="00266CDC">
        <w:rPr>
          <w:b/>
          <w:szCs w:val="24"/>
        </w:rPr>
        <w:t>ELECTRIC VEHICLE CHARGING STATION (EVCS).</w:t>
      </w:r>
      <w:r w:rsidRPr="00266CDC">
        <w:rPr>
          <w:b/>
          <w:bCs/>
          <w:szCs w:val="24"/>
        </w:rPr>
        <w:t xml:space="preserve"> </w:t>
      </w:r>
      <w:r w:rsidRPr="00266CDC">
        <w:rPr>
          <w:bCs/>
          <w:szCs w:val="24"/>
        </w:rPr>
        <w:t xml:space="preserve">[HCD] </w:t>
      </w:r>
      <w:r w:rsidRPr="00266CDC">
        <w:rPr>
          <w:szCs w:val="24"/>
        </w:rPr>
        <w:t xml:space="preserve">One or more electric vehicle charging spaces served by </w:t>
      </w:r>
      <w:r w:rsidRPr="00266CDC">
        <w:rPr>
          <w:szCs w:val="24"/>
          <w:u w:val="single"/>
        </w:rPr>
        <w:t>EVSE or receptacle(s).</w:t>
      </w:r>
      <w:r w:rsidRPr="00266CDC">
        <w:rPr>
          <w:strike/>
          <w:szCs w:val="24"/>
        </w:rPr>
        <w:t xml:space="preserve">electric vehicle charger(s) or other charging equipment allowing charging of electric vehicles. Electric vehicle charging stations are not considered parking spaces. </w:t>
      </w:r>
    </w:p>
    <w:p w14:paraId="74FB3478" w14:textId="77777777" w:rsidR="007449C6" w:rsidRPr="00266CDC" w:rsidRDefault="007449C6" w:rsidP="007449C6">
      <w:pPr>
        <w:autoSpaceDE w:val="0"/>
        <w:autoSpaceDN w:val="0"/>
        <w:adjustRightInd w:val="0"/>
        <w:ind w:left="720"/>
        <w:rPr>
          <w:strike/>
          <w:szCs w:val="24"/>
        </w:rPr>
      </w:pPr>
    </w:p>
    <w:p w14:paraId="6418E0C5" w14:textId="77777777" w:rsidR="007449C6" w:rsidRPr="00266CDC" w:rsidRDefault="007449C6" w:rsidP="007449C6">
      <w:pPr>
        <w:autoSpaceDE w:val="0"/>
        <w:autoSpaceDN w:val="0"/>
        <w:adjustRightInd w:val="0"/>
        <w:ind w:left="720"/>
        <w:rPr>
          <w:szCs w:val="24"/>
        </w:rPr>
      </w:pPr>
      <w:r w:rsidRPr="00266CDC">
        <w:rPr>
          <w:b/>
          <w:szCs w:val="24"/>
        </w:rPr>
        <w:t>ELECTRIC VEHICLE SUPPLY EQUIPMENT (EVSE).</w:t>
      </w:r>
      <w:r w:rsidRPr="00266CDC">
        <w:rPr>
          <w:b/>
          <w:bCs/>
          <w:szCs w:val="24"/>
        </w:rPr>
        <w:t xml:space="preserve"> </w:t>
      </w:r>
      <w:r w:rsidRPr="00266CDC">
        <w:rPr>
          <w:bCs/>
          <w:szCs w:val="24"/>
        </w:rPr>
        <w:t>[HCD]</w:t>
      </w:r>
      <w:r w:rsidRPr="00266CDC">
        <w:rPr>
          <w:b/>
          <w:bCs/>
          <w:szCs w:val="24"/>
        </w:rPr>
        <w:t xml:space="preserve"> </w:t>
      </w:r>
      <w:r w:rsidRPr="00266CDC">
        <w:rPr>
          <w:szCs w:val="24"/>
        </w:rPr>
        <w:t>The conductors, including the ungrounded, grounded and</w:t>
      </w:r>
      <w:r w:rsidRPr="00266CDC">
        <w:rPr>
          <w:b/>
          <w:bCs/>
          <w:szCs w:val="24"/>
        </w:rPr>
        <w:t xml:space="preserve"> </w:t>
      </w:r>
      <w:r w:rsidRPr="00266CDC">
        <w:rPr>
          <w:szCs w:val="24"/>
        </w:rPr>
        <w:t>equipment grounding conductors and the electric vehicle connectors,</w:t>
      </w:r>
      <w:r w:rsidRPr="00266CDC">
        <w:rPr>
          <w:b/>
          <w:bCs/>
          <w:szCs w:val="24"/>
        </w:rPr>
        <w:t xml:space="preserve"> </w:t>
      </w:r>
      <w:r w:rsidRPr="00266CDC">
        <w:rPr>
          <w:szCs w:val="24"/>
        </w:rPr>
        <w:t xml:space="preserve">attachment plugs, </w:t>
      </w:r>
      <w:r w:rsidRPr="00266CDC">
        <w:rPr>
          <w:szCs w:val="24"/>
          <w:u w:val="single"/>
        </w:rPr>
        <w:t xml:space="preserve">personnel protection system, </w:t>
      </w:r>
      <w:r w:rsidRPr="00266CDC">
        <w:rPr>
          <w:szCs w:val="24"/>
        </w:rPr>
        <w:t>and all other fittings, devices,</w:t>
      </w:r>
      <w:r w:rsidRPr="00266CDC">
        <w:rPr>
          <w:b/>
          <w:bCs/>
          <w:szCs w:val="24"/>
        </w:rPr>
        <w:t xml:space="preserve"> </w:t>
      </w:r>
      <w:r w:rsidRPr="00266CDC">
        <w:rPr>
          <w:szCs w:val="24"/>
        </w:rPr>
        <w:t>power outlets, or apparatus installed specifically for the purpose</w:t>
      </w:r>
      <w:r w:rsidRPr="00266CDC">
        <w:rPr>
          <w:b/>
          <w:bCs/>
          <w:szCs w:val="24"/>
        </w:rPr>
        <w:t xml:space="preserve"> </w:t>
      </w:r>
      <w:r w:rsidRPr="00266CDC">
        <w:rPr>
          <w:szCs w:val="24"/>
        </w:rPr>
        <w:t>of transferring energy between the premises wiring and</w:t>
      </w:r>
      <w:r w:rsidRPr="00266CDC">
        <w:rPr>
          <w:b/>
          <w:bCs/>
          <w:szCs w:val="24"/>
        </w:rPr>
        <w:t xml:space="preserve"> </w:t>
      </w:r>
      <w:r w:rsidRPr="00266CDC">
        <w:rPr>
          <w:szCs w:val="24"/>
        </w:rPr>
        <w:t>the electric vehicle.</w:t>
      </w:r>
    </w:p>
    <w:p w14:paraId="2973C51A" w14:textId="77777777" w:rsidR="007449C6" w:rsidRPr="00266CDC" w:rsidRDefault="007449C6" w:rsidP="007449C6">
      <w:pPr>
        <w:autoSpaceDE w:val="0"/>
        <w:autoSpaceDN w:val="0"/>
        <w:adjustRightInd w:val="0"/>
        <w:ind w:left="720"/>
        <w:rPr>
          <w:szCs w:val="24"/>
        </w:rPr>
      </w:pPr>
    </w:p>
    <w:p w14:paraId="595D40A0" w14:textId="77777777" w:rsidR="007449C6" w:rsidRPr="00266CDC" w:rsidRDefault="007449C6" w:rsidP="007449C6">
      <w:pPr>
        <w:ind w:left="720"/>
        <w:rPr>
          <w:szCs w:val="24"/>
        </w:rPr>
      </w:pPr>
      <w:r w:rsidRPr="00266CDC">
        <w:rPr>
          <w:b/>
          <w:szCs w:val="24"/>
        </w:rPr>
        <w:t xml:space="preserve">LEVEL 2 ELECTRIC VEHICLE SUPPLY EQUIPMENT </w:t>
      </w:r>
      <w:r w:rsidRPr="00266CDC">
        <w:rPr>
          <w:b/>
          <w:strike/>
          <w:szCs w:val="24"/>
        </w:rPr>
        <w:t>(EVSE)</w:t>
      </w:r>
      <w:r w:rsidRPr="00266CDC">
        <w:rPr>
          <w:b/>
          <w:szCs w:val="24"/>
        </w:rPr>
        <w:t>.</w:t>
      </w:r>
      <w:r w:rsidRPr="00266CDC">
        <w:rPr>
          <w:bCs/>
          <w:szCs w:val="24"/>
        </w:rPr>
        <w:t xml:space="preserve"> [HCD] </w:t>
      </w:r>
      <w:r w:rsidRPr="00266CDC">
        <w:rPr>
          <w:szCs w:val="24"/>
        </w:rPr>
        <w:t xml:space="preserve">The 208/240-volt 40-ampere branch circuit, and the electric vehicle charging connectors, attachment plugs and all other fittings, devices, power outlets or apparatus installed specifically for the purpose of transferring energy between the premises wiring and the electric vehicle. </w:t>
      </w:r>
    </w:p>
    <w:p w14:paraId="69850D38" w14:textId="77777777" w:rsidR="007449C6" w:rsidRPr="00266CDC" w:rsidRDefault="007449C6" w:rsidP="007449C6">
      <w:pPr>
        <w:ind w:left="720"/>
        <w:rPr>
          <w:szCs w:val="24"/>
        </w:rPr>
      </w:pPr>
    </w:p>
    <w:p w14:paraId="3059080B" w14:textId="77777777" w:rsidR="007449C6" w:rsidRPr="00266CDC" w:rsidRDefault="007449C6" w:rsidP="007449C6">
      <w:pPr>
        <w:ind w:left="720"/>
        <w:rPr>
          <w:szCs w:val="24"/>
          <w:u w:val="single"/>
        </w:rPr>
      </w:pPr>
      <w:r w:rsidRPr="00266CDC">
        <w:rPr>
          <w:b/>
          <w:bCs/>
          <w:szCs w:val="24"/>
          <w:u w:val="single"/>
        </w:rPr>
        <w:t xml:space="preserve">LEVEL 2 ELECTRIC VEHICLE (EV) CHARGER. </w:t>
      </w:r>
      <w:r w:rsidRPr="00266CDC">
        <w:rPr>
          <w:bCs/>
          <w:szCs w:val="24"/>
        </w:rPr>
        <w:t xml:space="preserve">[HCD] </w:t>
      </w:r>
      <w:r w:rsidRPr="00266CDC">
        <w:rPr>
          <w:szCs w:val="24"/>
          <w:u w:val="single"/>
        </w:rPr>
        <w:t>A 208/240-volt 30-ampere minimum electric vehicle charger connected to the premises electrical system capable of charging electric vehicles.</w:t>
      </w:r>
    </w:p>
    <w:p w14:paraId="62965AA5" w14:textId="77777777" w:rsidR="007449C6" w:rsidRPr="00266CDC" w:rsidRDefault="007449C6" w:rsidP="007449C6">
      <w:pPr>
        <w:ind w:left="720"/>
        <w:rPr>
          <w:szCs w:val="24"/>
          <w:u w:val="single"/>
        </w:rPr>
      </w:pPr>
    </w:p>
    <w:p w14:paraId="3D20652D" w14:textId="77777777" w:rsidR="007449C6" w:rsidRPr="00266CDC" w:rsidRDefault="007449C6" w:rsidP="007449C6">
      <w:pPr>
        <w:ind w:left="720"/>
        <w:rPr>
          <w:szCs w:val="24"/>
          <w:shd w:val="clear" w:color="auto" w:fill="FAF9F8"/>
        </w:rPr>
      </w:pPr>
      <w:r w:rsidRPr="00266CDC">
        <w:rPr>
          <w:b/>
          <w:szCs w:val="24"/>
        </w:rPr>
        <w:t>LOW POWER LEVEL 2 ELECTRIC VEHICLE (EV)</w:t>
      </w:r>
      <w:r w:rsidRPr="00266CDC">
        <w:rPr>
          <w:b/>
          <w:bCs/>
          <w:szCs w:val="24"/>
        </w:rPr>
        <w:t xml:space="preserve"> </w:t>
      </w:r>
      <w:r w:rsidRPr="00266CDC">
        <w:rPr>
          <w:b/>
          <w:szCs w:val="24"/>
        </w:rPr>
        <w:t xml:space="preserve">CHARGING RECEPTACLE. </w:t>
      </w:r>
      <w:r w:rsidRPr="00266CDC">
        <w:rPr>
          <w:bCs/>
          <w:szCs w:val="24"/>
        </w:rPr>
        <w:t>[HCD]</w:t>
      </w:r>
      <w:r w:rsidRPr="00266CDC">
        <w:rPr>
          <w:szCs w:val="24"/>
          <w:shd w:val="clear" w:color="auto" w:fill="FAF9F8"/>
        </w:rPr>
        <w:t xml:space="preserve"> </w:t>
      </w:r>
      <w:r w:rsidRPr="00266CDC">
        <w:rPr>
          <w:szCs w:val="24"/>
        </w:rPr>
        <w:t>A 208/240-volt 20-ampere minimum branch circuit and a receptacle</w:t>
      </w:r>
      <w:r w:rsidRPr="00266CDC">
        <w:rPr>
          <w:strike/>
          <w:szCs w:val="24"/>
        </w:rPr>
        <w:t xml:space="preserve"> for use by an EV driver to charge their electric vehicle or hybrid electric vehicle</w:t>
      </w:r>
      <w:r w:rsidRPr="00266CDC">
        <w:rPr>
          <w:szCs w:val="24"/>
          <w:shd w:val="clear" w:color="auto" w:fill="FAF9F8"/>
        </w:rPr>
        <w:t xml:space="preserve">. </w:t>
      </w:r>
    </w:p>
    <w:p w14:paraId="1ED64525" w14:textId="77777777" w:rsidR="007449C6" w:rsidRDefault="007449C6" w:rsidP="003F52CD">
      <w:pPr>
        <w:rPr>
          <w:szCs w:val="24"/>
          <w:shd w:val="clear" w:color="auto" w:fill="FAF9F8"/>
        </w:rPr>
      </w:pPr>
    </w:p>
    <w:p w14:paraId="21D959A0" w14:textId="77777777" w:rsidR="00014285" w:rsidRDefault="00014285">
      <w:pPr>
        <w:rPr>
          <w:rFonts w:eastAsiaTheme="majorEastAsia" w:cstheme="minorHAnsi"/>
          <w:b/>
          <w:bCs/>
          <w:color w:val="0070C0"/>
          <w:kern w:val="32"/>
          <w:sz w:val="32"/>
          <w:szCs w:val="32"/>
          <w:shd w:val="clear" w:color="auto" w:fill="FAF9F8"/>
        </w:rPr>
      </w:pPr>
      <w:r>
        <w:rPr>
          <w:shd w:val="clear" w:color="auto" w:fill="FAF9F8"/>
        </w:rPr>
        <w:br w:type="page"/>
      </w:r>
    </w:p>
    <w:p w14:paraId="7E1FF8C8" w14:textId="18F248A3" w:rsidR="003F52CD" w:rsidRDefault="003F52CD" w:rsidP="003F52CD">
      <w:pPr>
        <w:pStyle w:val="Heading1"/>
        <w:rPr>
          <w:shd w:val="clear" w:color="auto" w:fill="FAF9F8"/>
        </w:rPr>
      </w:pPr>
      <w:r>
        <w:rPr>
          <w:shd w:val="clear" w:color="auto" w:fill="FAF9F8"/>
        </w:rPr>
        <w:t>Residential Requirements</w:t>
      </w:r>
    </w:p>
    <w:p w14:paraId="31AFDA53" w14:textId="77777777" w:rsidR="003F52CD" w:rsidRPr="003F52CD" w:rsidRDefault="003F52CD" w:rsidP="003F52CD"/>
    <w:p w14:paraId="1D274F18" w14:textId="77777777" w:rsidR="007449C6" w:rsidRPr="00266CDC" w:rsidRDefault="007449C6" w:rsidP="007449C6">
      <w:r w:rsidRPr="00266CDC">
        <w:rPr>
          <w:b/>
          <w:bCs/>
          <w:szCs w:val="24"/>
        </w:rPr>
        <w:t xml:space="preserve">The first paragraph of Section </w:t>
      </w:r>
      <w:r w:rsidRPr="00266CDC">
        <w:rPr>
          <w:b/>
          <w:bCs/>
        </w:rPr>
        <w:t>4.106.4 Electric vehicle (EV) charging for new construction</w:t>
      </w:r>
      <w:r w:rsidRPr="00266CDC">
        <w:t xml:space="preserve"> is amended to read as follows:</w:t>
      </w:r>
    </w:p>
    <w:p w14:paraId="6BFE0036" w14:textId="77777777" w:rsidR="008969FA" w:rsidRPr="00266CDC" w:rsidRDefault="008969FA" w:rsidP="007449C6"/>
    <w:p w14:paraId="08121D78" w14:textId="77777777" w:rsidR="007449C6" w:rsidRPr="00266CDC" w:rsidRDefault="007449C6" w:rsidP="007449C6">
      <w:pPr>
        <w:ind w:left="720"/>
        <w:textAlignment w:val="baseline"/>
      </w:pPr>
      <w:r w:rsidRPr="00266CDC">
        <w:rPr>
          <w:b/>
          <w:bCs/>
        </w:rPr>
        <w:t xml:space="preserve">4.106.4 Electric vehicle (EV) charging for new construction. </w:t>
      </w:r>
      <w:r w:rsidRPr="00266CDC">
        <w:t xml:space="preserve">New construction shall comply with Section 4.106.4.1 or 4.106.4.2 </w:t>
      </w:r>
      <w:r w:rsidRPr="00266CDC">
        <w:rPr>
          <w:strike/>
        </w:rPr>
        <w:t>to facilitate future installation and use of EV chargers</w:t>
      </w:r>
      <w:r w:rsidRPr="00266CDC">
        <w:t xml:space="preserve">. Electric vehicle supply equipment (EVSE) shall </w:t>
      </w:r>
      <w:r w:rsidRPr="00266CDC">
        <w:rPr>
          <w:strike/>
        </w:rPr>
        <w:t>be installed in accordance</w:t>
      </w:r>
      <w:r w:rsidRPr="00266CDC">
        <w:t xml:space="preserve"> </w:t>
      </w:r>
      <w:r w:rsidRPr="00266CDC">
        <w:rPr>
          <w:u w:val="single"/>
        </w:rPr>
        <w:t>comply</w:t>
      </w:r>
      <w:r w:rsidRPr="00266CDC">
        <w:t xml:space="preserve"> with the </w:t>
      </w:r>
      <w:r w:rsidRPr="00266CDC">
        <w:rPr>
          <w:i/>
          <w:iCs/>
        </w:rPr>
        <w:t>California Electrical Code</w:t>
      </w:r>
      <w:r w:rsidRPr="00266CDC">
        <w:rPr>
          <w:strike/>
        </w:rPr>
        <w:t>, Article 625</w:t>
      </w:r>
      <w:r w:rsidRPr="00266CDC">
        <w:t>.</w:t>
      </w:r>
    </w:p>
    <w:p w14:paraId="3A013E97" w14:textId="77777777" w:rsidR="007449C6" w:rsidRPr="00266CDC" w:rsidRDefault="007449C6" w:rsidP="007449C6">
      <w:pPr>
        <w:textAlignment w:val="baseline"/>
      </w:pPr>
    </w:p>
    <w:p w14:paraId="71380628" w14:textId="77777777" w:rsidR="008969FA" w:rsidRPr="00266CDC" w:rsidRDefault="007449C6" w:rsidP="008969FA">
      <w:pPr>
        <w:pStyle w:val="NormalWeb"/>
        <w:spacing w:before="0" w:beforeAutospacing="0" w:after="0" w:afterAutospacing="0"/>
      </w:pPr>
      <w:r w:rsidRPr="00266CDC">
        <w:rPr>
          <w:b/>
          <w:bCs/>
        </w:rPr>
        <w:t xml:space="preserve">The first paragraph of Section 4.106.4.1 New one- and two-family dwellings and townhouses with attached private garages </w:t>
      </w:r>
      <w:r w:rsidRPr="00266CDC">
        <w:t>is amended to read as follows:</w:t>
      </w:r>
    </w:p>
    <w:p w14:paraId="618E747B" w14:textId="77777777" w:rsidR="008969FA" w:rsidRPr="00266CDC" w:rsidRDefault="008969FA" w:rsidP="008969FA">
      <w:pPr>
        <w:pStyle w:val="NormalWeb"/>
        <w:spacing w:before="0" w:beforeAutospacing="0" w:after="0" w:afterAutospacing="0"/>
      </w:pPr>
    </w:p>
    <w:p w14:paraId="708AD97E" w14:textId="7DF12E32" w:rsidR="007449C6" w:rsidRPr="00266CDC" w:rsidRDefault="007449C6" w:rsidP="008969FA">
      <w:pPr>
        <w:pStyle w:val="NormalWeb"/>
        <w:spacing w:before="0" w:beforeAutospacing="0" w:after="0" w:afterAutospacing="0"/>
        <w:ind w:left="720"/>
      </w:pPr>
      <w:r w:rsidRPr="00266CDC">
        <w:rPr>
          <w:b/>
          <w:bCs/>
        </w:rPr>
        <w:t>4.106.4.1 New one- and two-family dwellings and townhouses with attached private garages</w:t>
      </w:r>
      <w:r w:rsidRPr="00266CDC">
        <w:t>.</w:t>
      </w:r>
      <w:r w:rsidR="00F448ED">
        <w:t xml:space="preserve"> </w:t>
      </w:r>
      <w:r w:rsidRPr="00266CDC">
        <w:t xml:space="preserve">For each dwelling unit, install a listed raceway to accommodate a dedicated 208/240-volt branch circuit </w:t>
      </w:r>
      <w:r w:rsidRPr="00266CDC">
        <w:rPr>
          <w:u w:val="single"/>
        </w:rPr>
        <w:t>and comply with Section A4.106.8.1, Tier 1</w:t>
      </w:r>
      <w:r w:rsidRPr="00266CDC">
        <w:t>. The raceway shall not be less than trade size 1 (nominal 1-inch inside diameter). The raceway shall originate at the main service or subpanel and shall terminate into a listed cabinet, box or other enclosure in close proximity to the proposed location of an EV charger. Raceways are required to be continuous at enclosed, inaccessible or concealed areas and spaces. The service panel and/or subpanel shall provide capacity to install a 40-ampere 208/240-volt minimum dedicated branch circuit and space(s) reserved to permit installation of a branch circuit overcurrent protective device.</w:t>
      </w:r>
    </w:p>
    <w:p w14:paraId="19C6A598" w14:textId="77777777" w:rsidR="007449C6" w:rsidRPr="00266CDC" w:rsidRDefault="007449C6" w:rsidP="007449C6">
      <w:pPr>
        <w:textAlignment w:val="baseline"/>
      </w:pPr>
    </w:p>
    <w:p w14:paraId="74CB8491" w14:textId="77777777" w:rsidR="007449C6" w:rsidRPr="00266CDC" w:rsidRDefault="007449C6" w:rsidP="007449C6">
      <w:pPr>
        <w:textAlignment w:val="baseline"/>
      </w:pPr>
      <w:r w:rsidRPr="00266CDC">
        <w:rPr>
          <w:b/>
          <w:bCs/>
          <w:szCs w:val="24"/>
        </w:rPr>
        <w:t xml:space="preserve">The first paragraph of Section </w:t>
      </w:r>
      <w:r w:rsidRPr="00266CDC">
        <w:rPr>
          <w:b/>
          <w:bCs/>
        </w:rPr>
        <w:t>4.106.4.2</w:t>
      </w:r>
      <w:r w:rsidRPr="00266CDC">
        <w:rPr>
          <w:rFonts w:eastAsia="Calibri"/>
          <w:b/>
          <w:bCs/>
          <w:szCs w:val="24"/>
        </w:rPr>
        <w:t xml:space="preserve"> New multifamily dwellings, hotels and motels and new residential parking facilities</w:t>
      </w:r>
      <w:r w:rsidRPr="00266CDC">
        <w:t xml:space="preserve"> is modified as follows:</w:t>
      </w:r>
    </w:p>
    <w:p w14:paraId="3EA9B266" w14:textId="77777777" w:rsidR="007449C6" w:rsidRPr="00266CDC" w:rsidRDefault="007449C6" w:rsidP="007449C6">
      <w:pPr>
        <w:autoSpaceDE w:val="0"/>
        <w:autoSpaceDN w:val="0"/>
        <w:adjustRightInd w:val="0"/>
        <w:ind w:left="720"/>
        <w:rPr>
          <w:rFonts w:eastAsia="Calibri"/>
          <w:szCs w:val="24"/>
          <w:u w:val="single"/>
        </w:rPr>
      </w:pPr>
      <w:r w:rsidRPr="00266CDC">
        <w:rPr>
          <w:rFonts w:eastAsia="Calibri"/>
          <w:b/>
          <w:bCs/>
          <w:szCs w:val="24"/>
        </w:rPr>
        <w:t xml:space="preserve">4.106.4.2 New multifamily dwellings, hotels and motels and new residential parking facilities. </w:t>
      </w:r>
      <w:r w:rsidRPr="00266CDC">
        <w:rPr>
          <w:rFonts w:eastAsia="Calibri"/>
          <w:szCs w:val="24"/>
        </w:rPr>
        <w:t xml:space="preserve">When parking is provided, parking spaces for new multifamily dwellings, hotels and motels shall meet the requirements of Sections </w:t>
      </w:r>
      <w:r w:rsidRPr="00266CDC">
        <w:rPr>
          <w:rFonts w:eastAsia="Calibri"/>
          <w:strike/>
          <w:szCs w:val="24"/>
        </w:rPr>
        <w:t xml:space="preserve">4.106.4.2.1 and </w:t>
      </w:r>
      <w:r w:rsidRPr="00266CDC">
        <w:rPr>
          <w:rFonts w:eastAsia="Calibri"/>
          <w:szCs w:val="24"/>
        </w:rPr>
        <w:t>4.106.4.2.2</w:t>
      </w:r>
      <w:r w:rsidRPr="00266CDC">
        <w:rPr>
          <w:rFonts w:eastAsia="Calibri"/>
          <w:strike/>
          <w:szCs w:val="24"/>
        </w:rPr>
        <w:t>.</w:t>
      </w:r>
      <w:r w:rsidRPr="00266CDC">
        <w:rPr>
          <w:szCs w:val="24"/>
          <w:u w:val="single"/>
        </w:rPr>
        <w:t xml:space="preserve"> and A4.106</w:t>
      </w:r>
      <w:r w:rsidRPr="00266CDC">
        <w:rPr>
          <w:u w:val="single"/>
        </w:rPr>
        <w:t>.8.2</w:t>
      </w:r>
      <w:r w:rsidRPr="00266CDC">
        <w:rPr>
          <w:rFonts w:eastAsia="Calibri"/>
          <w:szCs w:val="24"/>
          <w:u w:val="single"/>
        </w:rPr>
        <w:t xml:space="preserve">, Tier 1. </w:t>
      </w:r>
      <w:r w:rsidRPr="00266CDC">
        <w:rPr>
          <w:rFonts w:eastAsia="Calibri"/>
          <w:szCs w:val="24"/>
        </w:rPr>
        <w:t>Calculations for spaces shall be rounded up to the nearest whole number. A parking space served by electric vehicle supply equipment or designed as a</w:t>
      </w:r>
      <w:r w:rsidRPr="00266CDC">
        <w:rPr>
          <w:rFonts w:eastAsia="Calibri"/>
          <w:szCs w:val="24"/>
          <w:u w:val="single"/>
        </w:rPr>
        <w:t>n</w:t>
      </w:r>
      <w:r w:rsidRPr="00266CDC">
        <w:rPr>
          <w:rFonts w:eastAsia="Calibri"/>
          <w:szCs w:val="24"/>
        </w:rPr>
        <w:t xml:space="preserve"> </w:t>
      </w:r>
      <w:r w:rsidRPr="00266CDC">
        <w:rPr>
          <w:rFonts w:eastAsia="Calibri"/>
          <w:strike/>
          <w:szCs w:val="24"/>
        </w:rPr>
        <w:t xml:space="preserve">future </w:t>
      </w:r>
      <w:r w:rsidRPr="00266CDC">
        <w:rPr>
          <w:rFonts w:eastAsia="Calibri"/>
          <w:szCs w:val="24"/>
        </w:rPr>
        <w:t>EV charging space shall count as at least one standard automobile parking space only for the purpose of complying with any applicable minimum parking space requirements established by a local jurisdiction. See Vehicle Code Section 22511.2 for further details.</w:t>
      </w:r>
    </w:p>
    <w:p w14:paraId="0F2DD97C" w14:textId="77777777" w:rsidR="007449C6" w:rsidRPr="00266CDC" w:rsidRDefault="007449C6" w:rsidP="007449C6">
      <w:pPr>
        <w:autoSpaceDE w:val="0"/>
        <w:autoSpaceDN w:val="0"/>
        <w:adjustRightInd w:val="0"/>
        <w:rPr>
          <w:rFonts w:eastAsia="Calibri"/>
          <w:b/>
          <w:bCs/>
          <w:szCs w:val="24"/>
          <w:u w:val="single"/>
        </w:rPr>
      </w:pPr>
    </w:p>
    <w:p w14:paraId="6CFD2922" w14:textId="77777777" w:rsidR="007449C6" w:rsidRPr="00266CDC" w:rsidRDefault="007449C6" w:rsidP="007449C6">
      <w:r w:rsidRPr="00266CDC">
        <w:rPr>
          <w:b/>
          <w:bCs/>
        </w:rPr>
        <w:t>Section 4.106.4.2.1</w:t>
      </w:r>
      <w:r w:rsidRPr="00266CDC">
        <w:rPr>
          <w:rFonts w:eastAsia="Calibri"/>
          <w:bCs/>
        </w:rPr>
        <w:t xml:space="preserve"> </w:t>
      </w:r>
      <w:r w:rsidRPr="00266CDC">
        <w:rPr>
          <w:rFonts w:eastAsia="Calibri"/>
          <w:b/>
        </w:rPr>
        <w:t>Multifamily development projects with less than 20 dwelling units; and hotels and motels with less than 20 sleeping units or guest rooms</w:t>
      </w:r>
      <w:r w:rsidRPr="00266CDC">
        <w:t xml:space="preserve"> is deleted in its entirety and Marked as “Reserved”.</w:t>
      </w:r>
    </w:p>
    <w:p w14:paraId="471FFB4E" w14:textId="77777777" w:rsidR="007449C6" w:rsidRPr="00266CDC" w:rsidRDefault="007449C6" w:rsidP="007449C6">
      <w:pPr>
        <w:autoSpaceDE w:val="0"/>
        <w:autoSpaceDN w:val="0"/>
        <w:adjustRightInd w:val="0"/>
        <w:rPr>
          <w:rFonts w:eastAsia="Calibri"/>
          <w:szCs w:val="24"/>
        </w:rPr>
      </w:pPr>
    </w:p>
    <w:p w14:paraId="52D8EE84" w14:textId="132FB7A2" w:rsidR="007449C6" w:rsidRPr="00266CDC" w:rsidRDefault="007449C6" w:rsidP="007449C6">
      <w:r w:rsidRPr="00266CDC">
        <w:rPr>
          <w:b/>
          <w:bCs/>
        </w:rPr>
        <w:t>Section 4.106.4.2.2 Multifamily development projects with 20 or more dwelling units, hotels and motels with 20 or more sleeping units or guest rooms</w:t>
      </w:r>
      <w:r w:rsidRPr="00266CDC">
        <w:t xml:space="preserve"> is deleted in its entirety and replaced with text to read as follows:</w:t>
      </w:r>
    </w:p>
    <w:p w14:paraId="6C06F2B3" w14:textId="77777777" w:rsidR="008969FA" w:rsidRPr="00266CDC" w:rsidRDefault="008969FA" w:rsidP="007449C6"/>
    <w:p w14:paraId="6743232E" w14:textId="77777777" w:rsidR="007449C6" w:rsidRPr="00124BE8" w:rsidRDefault="007449C6" w:rsidP="007449C6">
      <w:pPr>
        <w:ind w:left="720"/>
        <w:rPr>
          <w:rFonts w:eastAsia="Calibri" w:cstheme="minorHAnsi"/>
          <w:b/>
          <w:bCs/>
          <w:szCs w:val="24"/>
          <w:u w:val="single"/>
        </w:rPr>
      </w:pPr>
      <w:r w:rsidRPr="00124BE8">
        <w:rPr>
          <w:rFonts w:cstheme="minorHAnsi"/>
          <w:b/>
          <w:bCs/>
          <w:u w:val="single"/>
        </w:rPr>
        <w:t xml:space="preserve">4.106.4.2.2 </w:t>
      </w:r>
      <w:r w:rsidRPr="00124BE8">
        <w:rPr>
          <w:rFonts w:eastAsia="Calibri" w:cstheme="minorHAnsi"/>
          <w:b/>
          <w:bCs/>
          <w:szCs w:val="24"/>
          <w:u w:val="single"/>
        </w:rPr>
        <w:t>Multifamily dwellings, hotels and motels</w:t>
      </w:r>
    </w:p>
    <w:p w14:paraId="15A984C3" w14:textId="77777777" w:rsidR="007449C6" w:rsidRPr="00124BE8" w:rsidRDefault="007449C6" w:rsidP="007449C6">
      <w:pPr>
        <w:ind w:left="1440"/>
        <w:textAlignment w:val="baseline"/>
        <w:rPr>
          <w:rFonts w:cstheme="minorHAnsi"/>
          <w:b/>
          <w:bCs/>
          <w:szCs w:val="24"/>
          <w:u w:val="single"/>
        </w:rPr>
      </w:pPr>
      <w:r w:rsidRPr="00124BE8">
        <w:rPr>
          <w:rFonts w:cstheme="minorHAnsi"/>
          <w:u w:val="single"/>
        </w:rPr>
        <w:t>1.</w:t>
      </w:r>
      <w:r w:rsidRPr="00124BE8">
        <w:rPr>
          <w:rFonts w:cstheme="minorHAnsi"/>
          <w:b/>
          <w:bCs/>
          <w:szCs w:val="24"/>
        </w:rPr>
        <w:t xml:space="preserve"> </w:t>
      </w:r>
      <w:r w:rsidRPr="00124BE8">
        <w:rPr>
          <w:rFonts w:cstheme="minorHAnsi"/>
          <w:b/>
          <w:bCs/>
          <w:szCs w:val="24"/>
          <w:u w:val="single"/>
        </w:rPr>
        <w:t>EV Ready Parking Spaces with Receptacles</w:t>
      </w:r>
    </w:p>
    <w:p w14:paraId="2356F9A5" w14:textId="77777777" w:rsidR="007449C6" w:rsidRPr="00124BE8" w:rsidRDefault="007449C6" w:rsidP="00817748">
      <w:pPr>
        <w:ind w:left="2160" w:hanging="360"/>
        <w:textAlignment w:val="baseline"/>
        <w:rPr>
          <w:rFonts w:cstheme="minorHAnsi"/>
          <w:szCs w:val="24"/>
          <w:u w:val="single"/>
        </w:rPr>
      </w:pPr>
      <w:r w:rsidRPr="00124BE8">
        <w:rPr>
          <w:rFonts w:cstheme="minorHAnsi"/>
          <w:szCs w:val="24"/>
          <w:u w:val="single"/>
        </w:rPr>
        <w:t>a.</w:t>
      </w:r>
      <w:r w:rsidRPr="00124BE8">
        <w:rPr>
          <w:rFonts w:cstheme="minorHAnsi"/>
          <w:szCs w:val="24"/>
          <w:u w:val="single"/>
        </w:rPr>
        <w:tab/>
        <w:t>Reserved (see A4.106</w:t>
      </w:r>
      <w:r w:rsidRPr="00124BE8">
        <w:rPr>
          <w:rFonts w:cstheme="minorHAnsi"/>
          <w:u w:val="single"/>
        </w:rPr>
        <w:t>.8.2)</w:t>
      </w:r>
    </w:p>
    <w:p w14:paraId="5AB3E962" w14:textId="0184F42F" w:rsidR="007449C6" w:rsidRPr="00124BE8" w:rsidRDefault="007449C6" w:rsidP="00817748">
      <w:pPr>
        <w:ind w:left="2160" w:hanging="360"/>
        <w:textAlignment w:val="baseline"/>
        <w:rPr>
          <w:rFonts w:cstheme="minorHAnsi"/>
          <w:szCs w:val="24"/>
          <w:u w:val="single"/>
        </w:rPr>
      </w:pPr>
      <w:r w:rsidRPr="00124BE8">
        <w:rPr>
          <w:rFonts w:cstheme="minorHAnsi"/>
          <w:szCs w:val="24"/>
          <w:u w:val="single"/>
        </w:rPr>
        <w:t>b.</w:t>
      </w:r>
      <w:r w:rsidRPr="00124BE8">
        <w:rPr>
          <w:rFonts w:cstheme="minorHAnsi"/>
          <w:szCs w:val="24"/>
          <w:u w:val="single"/>
        </w:rPr>
        <w:tab/>
        <w:t>Reserved (see A4.106</w:t>
      </w:r>
      <w:r w:rsidRPr="00124BE8">
        <w:rPr>
          <w:rFonts w:cstheme="minorHAnsi"/>
          <w:u w:val="single"/>
        </w:rPr>
        <w:t>.8.2)</w:t>
      </w:r>
      <w:r w:rsidR="008969FA" w:rsidRPr="00124BE8">
        <w:rPr>
          <w:rStyle w:val="FootnoteReference"/>
          <w:rFonts w:cstheme="minorHAnsi"/>
          <w:color w:val="00B0F0"/>
          <w:u w:val="single"/>
        </w:rPr>
        <w:footnoteReference w:id="2"/>
      </w:r>
    </w:p>
    <w:p w14:paraId="430D4884" w14:textId="25DD6B48" w:rsidR="007449C6" w:rsidRPr="00124BE8" w:rsidRDefault="007449C6" w:rsidP="00817748">
      <w:pPr>
        <w:ind w:left="2160" w:hanging="360"/>
        <w:textAlignment w:val="baseline"/>
        <w:rPr>
          <w:rFonts w:cstheme="minorHAnsi"/>
          <w:szCs w:val="24"/>
          <w:u w:val="single"/>
        </w:rPr>
      </w:pPr>
      <w:r w:rsidRPr="00124BE8">
        <w:rPr>
          <w:rFonts w:cstheme="minorHAnsi"/>
          <w:szCs w:val="24"/>
          <w:u w:val="single"/>
        </w:rPr>
        <w:t>c.</w:t>
      </w:r>
      <w:r w:rsidRPr="00124BE8">
        <w:rPr>
          <w:rFonts w:cstheme="minorHAnsi"/>
          <w:szCs w:val="24"/>
          <w:u w:val="single"/>
        </w:rPr>
        <w:tab/>
      </w:r>
      <w:r w:rsidRPr="00124BE8">
        <w:rPr>
          <w:rFonts w:cstheme="minorHAnsi"/>
          <w:b/>
          <w:bCs/>
          <w:u w:val="single"/>
        </w:rPr>
        <w:t xml:space="preserve">Receptacle Power Source. </w:t>
      </w:r>
      <w:r w:rsidRPr="00124BE8">
        <w:rPr>
          <w:rFonts w:eastAsia="Calibri" w:cstheme="minorHAnsi"/>
          <w:u w:val="single"/>
        </w:rPr>
        <w:t xml:space="preserve">EV charging receptacles in multifamily parking </w:t>
      </w:r>
      <w:r w:rsidRPr="0082445B">
        <w:rPr>
          <w:rFonts w:eastAsia="Calibri" w:cstheme="minorHAnsi"/>
          <w:u w:val="single"/>
        </w:rPr>
        <w:t xml:space="preserve">facilities </w:t>
      </w:r>
      <w:r w:rsidR="00B47A64" w:rsidRPr="0082445B">
        <w:rPr>
          <w:rFonts w:eastAsia="Calibri" w:cstheme="minorHAnsi"/>
          <w:u w:val="single"/>
        </w:rPr>
        <w:t>at assigned</w:t>
      </w:r>
      <w:r w:rsidR="006F3BE4" w:rsidRPr="0082445B">
        <w:rPr>
          <w:rFonts w:eastAsia="Calibri" w:cstheme="minorHAnsi"/>
          <w:u w:val="single"/>
        </w:rPr>
        <w:t xml:space="preserve"> parking spaces </w:t>
      </w:r>
      <w:r w:rsidRPr="0082445B">
        <w:rPr>
          <w:rFonts w:eastAsia="Calibri" w:cstheme="minorHAnsi"/>
          <w:u w:val="single"/>
        </w:rPr>
        <w:t>shall be provided with a dedicated</w:t>
      </w:r>
      <w:r w:rsidRPr="00124BE8">
        <w:rPr>
          <w:rFonts w:eastAsia="Calibri" w:cstheme="minorHAnsi"/>
          <w:u w:val="single"/>
        </w:rPr>
        <w:t xml:space="preserve"> branch circuit connected to the dwelling unit’s electrical </w:t>
      </w:r>
      <w:r w:rsidR="00905939" w:rsidRPr="00787A26">
        <w:rPr>
          <w:rFonts w:eastAsia="Calibri" w:cstheme="minorHAnsi"/>
          <w:u w:val="single"/>
        </w:rPr>
        <w:t>pan</w:t>
      </w:r>
      <w:r w:rsidR="00905939" w:rsidRPr="001118C9">
        <w:rPr>
          <w:rFonts w:eastAsia="Calibri" w:cstheme="minorHAnsi"/>
          <w:u w:val="single"/>
        </w:rPr>
        <w:t>el</w:t>
      </w:r>
      <w:r w:rsidR="007F47C2">
        <w:rPr>
          <w:rFonts w:eastAsia="Calibri" w:cstheme="minorHAnsi"/>
          <w:u w:val="single"/>
        </w:rPr>
        <w:t xml:space="preserve">. </w:t>
      </w:r>
      <w:r w:rsidR="007F47C2" w:rsidRPr="004E0D3C">
        <w:rPr>
          <w:rStyle w:val="Instructions"/>
          <w:rFonts w:eastAsia="Calibri"/>
        </w:rPr>
        <w:t>[</w:t>
      </w:r>
      <w:r w:rsidR="007F47C2" w:rsidRPr="007F47C2">
        <w:rPr>
          <w:rStyle w:val="Instructions"/>
          <w:rFonts w:eastAsia="Calibri"/>
        </w:rPr>
        <w:t>Optional]</w:t>
      </w:r>
      <w:r w:rsidR="007F47C2" w:rsidRPr="003F22BA">
        <w:rPr>
          <w:rStyle w:val="Instructions"/>
          <w:rFonts w:eastAsia="Calibri"/>
          <w:u w:val="single"/>
        </w:rPr>
        <w:t xml:space="preserve"> </w:t>
      </w:r>
      <w:r w:rsidR="007F47C2" w:rsidRPr="003F22BA">
        <w:rPr>
          <w:rStyle w:val="Instructions"/>
          <w:u w:val="single"/>
        </w:rPr>
        <w:t>All conductors shall be sized to support a minimum 208/240-volt 40-ampere circuit.</w:t>
      </w:r>
      <w:r w:rsidR="007F47C2" w:rsidRPr="004E0D3C">
        <w:rPr>
          <w:rStyle w:val="FootnoteReference"/>
          <w:rFonts w:cstheme="minorHAnsi"/>
          <w:color w:val="0070C0"/>
          <w:u w:val="single"/>
        </w:rPr>
        <w:footnoteReference w:id="3"/>
      </w:r>
      <w:r w:rsidR="007F47C2" w:rsidRPr="004E0D3C">
        <w:rPr>
          <w:rFonts w:cstheme="minorHAnsi"/>
          <w:color w:val="0070C0"/>
          <w:u w:val="single"/>
        </w:rPr>
        <w:t xml:space="preserve"> </w:t>
      </w:r>
      <w:r w:rsidR="00905939" w:rsidRPr="001118C9">
        <w:rPr>
          <w:rFonts w:cstheme="minorHAnsi"/>
          <w:color w:val="3F3F3F"/>
          <w:u w:val="single"/>
        </w:rPr>
        <w:t xml:space="preserve">These requirements apply </w:t>
      </w:r>
      <w:r w:rsidRPr="00124BE8">
        <w:rPr>
          <w:rFonts w:eastAsia="Calibri" w:cstheme="minorHAnsi"/>
          <w:u w:val="single"/>
        </w:rPr>
        <w:t>unless determined as infeasible by the project builder or designer and subject to concurrence of the local enforcing agency</w:t>
      </w:r>
      <w:r w:rsidRPr="00124BE8">
        <w:rPr>
          <w:rFonts w:eastAsia="Calibri" w:cstheme="minorHAnsi"/>
        </w:rPr>
        <w:t>.</w:t>
      </w:r>
    </w:p>
    <w:p w14:paraId="6FA3C9B7" w14:textId="77777777" w:rsidR="007449C6" w:rsidRPr="003E54A5" w:rsidRDefault="007449C6" w:rsidP="00817748">
      <w:pPr>
        <w:pStyle w:val="paragraph"/>
        <w:spacing w:before="120" w:beforeAutospacing="0" w:after="120" w:afterAutospacing="0"/>
        <w:ind w:left="2520"/>
        <w:textAlignment w:val="baseline"/>
        <w:rPr>
          <w:rFonts w:asciiTheme="minorHAnsi" w:hAnsiTheme="minorHAnsi" w:cstheme="minorHAnsi"/>
          <w:b/>
          <w:bCs/>
          <w:u w:val="single"/>
        </w:rPr>
      </w:pPr>
      <w:r w:rsidRPr="003E54A5">
        <w:rPr>
          <w:rFonts w:asciiTheme="minorHAnsi" w:hAnsiTheme="minorHAnsi" w:cstheme="minorHAnsi"/>
          <w:b/>
          <w:bCs/>
          <w:u w:val="single"/>
        </w:rPr>
        <w:t xml:space="preserve">Exception: </w:t>
      </w:r>
      <w:r w:rsidRPr="003E54A5">
        <w:rPr>
          <w:rFonts w:asciiTheme="minorHAnsi" w:hAnsiTheme="minorHAnsi" w:cstheme="minorHAnsi"/>
          <w:u w:val="single"/>
        </w:rPr>
        <w:t>Areas of parking facilities served by parking lifts,</w:t>
      </w:r>
      <w:r w:rsidRPr="003E54A5">
        <w:rPr>
          <w:rFonts w:asciiTheme="minorHAnsi" w:hAnsiTheme="minorHAnsi" w:cstheme="minorHAnsi"/>
        </w:rPr>
        <w:t xml:space="preserve"> </w:t>
      </w:r>
      <w:r w:rsidRPr="003E54A5">
        <w:rPr>
          <w:rFonts w:asciiTheme="minorHAnsi" w:hAnsiTheme="minorHAnsi" w:cstheme="minorHAnsi"/>
          <w:u w:val="single"/>
        </w:rPr>
        <w:t>including but not limited to automated mechanical-access open parking garages as defined in the California Building Code; or parking facilities otherwise incapable of supporting electric vehicle charging.</w:t>
      </w:r>
    </w:p>
    <w:p w14:paraId="797E628B" w14:textId="77777777" w:rsidR="007449C6" w:rsidRPr="003E54A5" w:rsidRDefault="007449C6" w:rsidP="00817748">
      <w:pPr>
        <w:pStyle w:val="paragraph"/>
        <w:spacing w:before="120" w:beforeAutospacing="0" w:after="120" w:afterAutospacing="0"/>
        <w:ind w:left="2160" w:hanging="360"/>
        <w:textAlignment w:val="baseline"/>
        <w:rPr>
          <w:rFonts w:asciiTheme="minorHAnsi" w:hAnsiTheme="minorHAnsi" w:cstheme="minorHAnsi"/>
        </w:rPr>
      </w:pPr>
      <w:r w:rsidRPr="003E54A5">
        <w:rPr>
          <w:rFonts w:asciiTheme="minorHAnsi" w:hAnsiTheme="minorHAnsi" w:cstheme="minorHAnsi"/>
          <w:u w:val="single"/>
        </w:rPr>
        <w:t>d.</w:t>
      </w:r>
      <w:r w:rsidRPr="003E54A5">
        <w:rPr>
          <w:rFonts w:asciiTheme="minorHAnsi" w:hAnsiTheme="minorHAnsi" w:cstheme="minorHAnsi"/>
          <w:u w:val="single"/>
        </w:rPr>
        <w:tab/>
      </w:r>
      <w:r w:rsidRPr="003E54A5">
        <w:rPr>
          <w:rFonts w:asciiTheme="minorHAnsi" w:hAnsiTheme="minorHAnsi" w:cstheme="minorHAnsi"/>
          <w:b/>
          <w:bCs/>
          <w:u w:val="single"/>
        </w:rPr>
        <w:t>Receptacle Configurations.</w:t>
      </w:r>
      <w:r w:rsidRPr="003E54A5">
        <w:rPr>
          <w:rFonts w:asciiTheme="minorHAnsi" w:hAnsiTheme="minorHAnsi" w:cstheme="minorHAnsi"/>
          <w:b/>
          <w:bCs/>
        </w:rPr>
        <w:t xml:space="preserve"> </w:t>
      </w:r>
      <w:r w:rsidRPr="003E54A5">
        <w:rPr>
          <w:rFonts w:asciiTheme="minorHAnsi" w:eastAsia="Calibri" w:hAnsiTheme="minorHAnsi" w:cstheme="minorHAnsi"/>
          <w:u w:val="single"/>
        </w:rPr>
        <w:t>208/240V EV charging receptacles shall comply with one of the following configurations:</w:t>
      </w:r>
    </w:p>
    <w:p w14:paraId="00977273" w14:textId="77777777" w:rsidR="007449C6" w:rsidRPr="003E54A5" w:rsidRDefault="007449C6" w:rsidP="00817748">
      <w:pPr>
        <w:pStyle w:val="paragraph"/>
        <w:numPr>
          <w:ilvl w:val="3"/>
          <w:numId w:val="5"/>
        </w:numPr>
        <w:spacing w:before="120" w:beforeAutospacing="0" w:after="120" w:afterAutospacing="0"/>
        <w:ind w:left="2880"/>
        <w:textAlignment w:val="baseline"/>
        <w:rPr>
          <w:rFonts w:asciiTheme="minorHAnsi" w:hAnsiTheme="minorHAnsi" w:cstheme="minorHAnsi"/>
          <w:u w:val="single"/>
        </w:rPr>
      </w:pPr>
      <w:r w:rsidRPr="003E54A5">
        <w:rPr>
          <w:rFonts w:asciiTheme="minorHAnsi" w:hAnsiTheme="minorHAnsi" w:cstheme="minorHAnsi"/>
          <w:u w:val="single"/>
        </w:rPr>
        <w:t xml:space="preserve">For </w:t>
      </w:r>
      <w:r w:rsidRPr="003E54A5">
        <w:rPr>
          <w:rFonts w:asciiTheme="minorHAnsi" w:eastAsia="Calibri" w:hAnsiTheme="minorHAnsi" w:cstheme="minorHAnsi"/>
          <w:u w:val="single"/>
        </w:rPr>
        <w:t>20- ampere receptacles, NEMA 6-20R</w:t>
      </w:r>
    </w:p>
    <w:p w14:paraId="4D0E544F" w14:textId="77777777" w:rsidR="007449C6" w:rsidRPr="003E54A5" w:rsidRDefault="007449C6" w:rsidP="00817748">
      <w:pPr>
        <w:pStyle w:val="paragraph"/>
        <w:numPr>
          <w:ilvl w:val="3"/>
          <w:numId w:val="5"/>
        </w:numPr>
        <w:spacing w:before="120" w:beforeAutospacing="0" w:after="120" w:afterAutospacing="0"/>
        <w:ind w:left="2880"/>
        <w:textAlignment w:val="baseline"/>
        <w:rPr>
          <w:rFonts w:asciiTheme="minorHAnsi" w:hAnsiTheme="minorHAnsi" w:cstheme="minorHAnsi"/>
          <w:u w:val="single"/>
        </w:rPr>
      </w:pPr>
      <w:r w:rsidRPr="003E54A5">
        <w:rPr>
          <w:rFonts w:asciiTheme="minorHAnsi" w:hAnsiTheme="minorHAnsi" w:cstheme="minorHAnsi"/>
          <w:u w:val="single"/>
        </w:rPr>
        <w:t xml:space="preserve">For </w:t>
      </w:r>
      <w:r w:rsidRPr="003E54A5">
        <w:rPr>
          <w:rFonts w:asciiTheme="minorHAnsi" w:eastAsia="Calibri" w:hAnsiTheme="minorHAnsi" w:cstheme="minorHAnsi"/>
          <w:u w:val="single"/>
        </w:rPr>
        <w:t>30- ampere receptacles, NEMA 14-30R</w:t>
      </w:r>
    </w:p>
    <w:p w14:paraId="39C52CD3" w14:textId="77777777" w:rsidR="007449C6" w:rsidRPr="003E54A5" w:rsidRDefault="007449C6" w:rsidP="00817748">
      <w:pPr>
        <w:pStyle w:val="paragraph"/>
        <w:numPr>
          <w:ilvl w:val="3"/>
          <w:numId w:val="5"/>
        </w:numPr>
        <w:spacing w:before="120" w:beforeAutospacing="0" w:after="120" w:afterAutospacing="0"/>
        <w:ind w:left="2880"/>
        <w:textAlignment w:val="baseline"/>
        <w:rPr>
          <w:rFonts w:asciiTheme="minorHAnsi" w:hAnsiTheme="minorHAnsi" w:cstheme="minorHAnsi"/>
          <w:u w:val="single"/>
        </w:rPr>
      </w:pPr>
      <w:r w:rsidRPr="003E54A5">
        <w:rPr>
          <w:rFonts w:asciiTheme="minorHAnsi" w:hAnsiTheme="minorHAnsi" w:cstheme="minorHAnsi"/>
          <w:u w:val="single"/>
        </w:rPr>
        <w:t xml:space="preserve">For </w:t>
      </w:r>
      <w:r w:rsidRPr="003E54A5">
        <w:rPr>
          <w:rFonts w:asciiTheme="minorHAnsi" w:eastAsia="Calibri" w:hAnsiTheme="minorHAnsi" w:cstheme="minorHAnsi"/>
          <w:u w:val="single"/>
        </w:rPr>
        <w:t>50- ampere receptacles, NEMA 14-50R</w:t>
      </w:r>
    </w:p>
    <w:p w14:paraId="5C555C96" w14:textId="0F0B8DD0" w:rsidR="007449C6" w:rsidRPr="003E54A5" w:rsidRDefault="007449C6" w:rsidP="007449C6">
      <w:pPr>
        <w:pStyle w:val="paragraph"/>
        <w:spacing w:before="120" w:beforeAutospacing="0" w:after="120" w:afterAutospacing="0"/>
        <w:ind w:left="1440"/>
        <w:textAlignment w:val="baseline"/>
        <w:rPr>
          <w:rFonts w:asciiTheme="minorHAnsi" w:hAnsiTheme="minorHAnsi" w:cstheme="minorHAnsi"/>
          <w:u w:val="single"/>
        </w:rPr>
      </w:pPr>
      <w:r w:rsidRPr="0020706B">
        <w:rPr>
          <w:rFonts w:asciiTheme="minorHAnsi" w:eastAsia="Calibri" w:hAnsiTheme="minorHAnsi" w:cstheme="minorHAnsi"/>
          <w:u w:val="single"/>
        </w:rPr>
        <w:t>2. Reserved</w:t>
      </w:r>
    </w:p>
    <w:p w14:paraId="51CDE0B3" w14:textId="77777777" w:rsidR="007449C6" w:rsidRPr="00124BE8" w:rsidRDefault="007449C6" w:rsidP="007449C6">
      <w:pPr>
        <w:textAlignment w:val="baseline"/>
        <w:rPr>
          <w:rFonts w:cstheme="minorHAnsi"/>
          <w:b/>
          <w:bCs/>
        </w:rPr>
      </w:pPr>
    </w:p>
    <w:p w14:paraId="623216AE" w14:textId="77777777" w:rsidR="007449C6" w:rsidRPr="00124BE8" w:rsidRDefault="007449C6" w:rsidP="007449C6">
      <w:pPr>
        <w:textAlignment w:val="baseline"/>
        <w:rPr>
          <w:rFonts w:cstheme="minorHAnsi"/>
        </w:rPr>
      </w:pPr>
      <w:r w:rsidRPr="00124BE8">
        <w:rPr>
          <w:rFonts w:cstheme="minorHAnsi"/>
          <w:b/>
          <w:bCs/>
        </w:rPr>
        <w:t xml:space="preserve">Section 4.106.4.2.2.1 </w:t>
      </w:r>
      <w:r w:rsidRPr="00124BE8">
        <w:rPr>
          <w:rFonts w:eastAsia="Calibri" w:cstheme="minorHAnsi"/>
          <w:b/>
          <w:bCs/>
          <w:szCs w:val="24"/>
        </w:rPr>
        <w:t xml:space="preserve">Electric vehicle charging stations (EVCS) </w:t>
      </w:r>
      <w:r w:rsidRPr="00124BE8">
        <w:rPr>
          <w:rFonts w:cstheme="minorHAnsi"/>
        </w:rPr>
        <w:t>is amended to read as follows:</w:t>
      </w:r>
    </w:p>
    <w:p w14:paraId="61EEF2E6" w14:textId="77777777" w:rsidR="008969FA" w:rsidRPr="00124BE8" w:rsidRDefault="008969FA" w:rsidP="007449C6">
      <w:pPr>
        <w:textAlignment w:val="baseline"/>
        <w:rPr>
          <w:rFonts w:cstheme="minorHAnsi"/>
          <w:b/>
          <w:bCs/>
        </w:rPr>
      </w:pPr>
    </w:p>
    <w:p w14:paraId="369D0161" w14:textId="77777777" w:rsidR="007449C6" w:rsidRPr="00124BE8" w:rsidRDefault="007449C6" w:rsidP="008969FA">
      <w:pPr>
        <w:spacing w:line="259" w:lineRule="auto"/>
        <w:ind w:left="720"/>
        <w:rPr>
          <w:rFonts w:eastAsia="Calibri" w:cstheme="minorHAnsi"/>
          <w:szCs w:val="24"/>
        </w:rPr>
      </w:pPr>
      <w:r w:rsidRPr="00124BE8">
        <w:rPr>
          <w:rFonts w:eastAsia="Calibri" w:cstheme="minorHAnsi"/>
          <w:b/>
          <w:bCs/>
          <w:szCs w:val="24"/>
        </w:rPr>
        <w:t xml:space="preserve">4.106.4.2.2.1 Electric vehicle charging stations (EVCS) </w:t>
      </w:r>
      <w:r w:rsidRPr="00124BE8">
        <w:rPr>
          <w:rFonts w:eastAsia="Calibri" w:cstheme="minorHAnsi"/>
          <w:szCs w:val="24"/>
        </w:rPr>
        <w:t>Electric vehicle charging stations required by Section 4.106.4.2</w:t>
      </w:r>
      <w:r w:rsidRPr="00124BE8">
        <w:rPr>
          <w:rFonts w:eastAsia="Calibri" w:cstheme="minorHAnsi"/>
          <w:strike/>
          <w:szCs w:val="24"/>
        </w:rPr>
        <w:t>.2.1.2, Item 3</w:t>
      </w:r>
      <w:r w:rsidRPr="00124BE8">
        <w:rPr>
          <w:rFonts w:eastAsia="Calibri" w:cstheme="minorHAnsi"/>
          <w:szCs w:val="24"/>
        </w:rPr>
        <w:t xml:space="preserve">, </w:t>
      </w:r>
      <w:r w:rsidRPr="00124BE8">
        <w:rPr>
          <w:rFonts w:eastAsia="Calibri" w:cstheme="minorHAnsi"/>
          <w:szCs w:val="24"/>
          <w:u w:val="single"/>
        </w:rPr>
        <w:t xml:space="preserve">with EV chargers installed </w:t>
      </w:r>
      <w:r w:rsidRPr="00124BE8">
        <w:rPr>
          <w:rFonts w:eastAsia="Calibri" w:cstheme="minorHAnsi"/>
          <w:szCs w:val="24"/>
        </w:rPr>
        <w:t>shall comply with Section 4.106.4.2.2.1.1.</w:t>
      </w:r>
    </w:p>
    <w:p w14:paraId="404ABCDB" w14:textId="77777777" w:rsidR="007449C6" w:rsidRPr="00124BE8" w:rsidRDefault="007449C6" w:rsidP="007449C6">
      <w:pPr>
        <w:ind w:left="720"/>
        <w:textAlignment w:val="baseline"/>
        <w:rPr>
          <w:rFonts w:eastAsia="Calibri" w:cstheme="minorHAnsi"/>
          <w:szCs w:val="24"/>
        </w:rPr>
      </w:pPr>
    </w:p>
    <w:p w14:paraId="0E3BF680" w14:textId="77777777" w:rsidR="007449C6" w:rsidRPr="00266CDC" w:rsidRDefault="007449C6" w:rsidP="008969FA">
      <w:pPr>
        <w:ind w:left="1440"/>
        <w:textAlignment w:val="baseline"/>
        <w:rPr>
          <w:rFonts w:eastAsia="Calibri"/>
          <w:szCs w:val="24"/>
        </w:rPr>
      </w:pPr>
      <w:r w:rsidRPr="00266CDC">
        <w:rPr>
          <w:rFonts w:eastAsia="Calibri"/>
          <w:b/>
          <w:bCs/>
          <w:szCs w:val="24"/>
        </w:rPr>
        <w:t>Exception:</w:t>
      </w:r>
      <w:r w:rsidRPr="00266CDC">
        <w:rPr>
          <w:rFonts w:eastAsia="Calibri"/>
          <w:szCs w:val="24"/>
        </w:rPr>
        <w:t xml:space="preserve"> Electric vehicle charging stations serving public accommodations, public housing, motels and hotels shall not be required to comply with this section. See California Building Code, Chapter 11B, for applicable requirements.</w:t>
      </w:r>
    </w:p>
    <w:p w14:paraId="2D6C5748" w14:textId="77777777" w:rsidR="007449C6" w:rsidRPr="00266CDC" w:rsidRDefault="007449C6" w:rsidP="007449C6">
      <w:pPr>
        <w:ind w:left="720"/>
        <w:textAlignment w:val="baseline"/>
        <w:rPr>
          <w:rFonts w:eastAsia="Calibri"/>
          <w:szCs w:val="24"/>
        </w:rPr>
      </w:pPr>
    </w:p>
    <w:p w14:paraId="305D2346" w14:textId="77777777" w:rsidR="007449C6" w:rsidRPr="00266CDC" w:rsidRDefault="007449C6" w:rsidP="007449C6">
      <w:pPr>
        <w:rPr>
          <w:rFonts w:eastAsia="Calibri"/>
          <w:szCs w:val="24"/>
        </w:rPr>
      </w:pPr>
      <w:r w:rsidRPr="00266CDC">
        <w:rPr>
          <w:rFonts w:eastAsia="Calibri"/>
          <w:b/>
          <w:bCs/>
          <w:szCs w:val="24"/>
        </w:rPr>
        <w:t>Section 4.106.4.2.2.1.1 Location</w:t>
      </w:r>
      <w:r w:rsidRPr="00266CDC">
        <w:rPr>
          <w:rFonts w:eastAsia="Calibri"/>
          <w:szCs w:val="24"/>
        </w:rPr>
        <w:t xml:space="preserve"> is deleted in its entirety.</w:t>
      </w:r>
    </w:p>
    <w:p w14:paraId="001EFE2A" w14:textId="77777777" w:rsidR="007449C6" w:rsidRPr="00266CDC" w:rsidRDefault="007449C6" w:rsidP="007449C6">
      <w:pPr>
        <w:rPr>
          <w:rFonts w:eastAsia="Calibri"/>
          <w:szCs w:val="24"/>
        </w:rPr>
      </w:pPr>
    </w:p>
    <w:p w14:paraId="40093A8B" w14:textId="77777777" w:rsidR="007449C6" w:rsidRPr="00266CDC" w:rsidRDefault="007449C6" w:rsidP="007449C6">
      <w:pPr>
        <w:textAlignment w:val="baseline"/>
        <w:rPr>
          <w:szCs w:val="24"/>
        </w:rPr>
      </w:pPr>
      <w:r w:rsidRPr="00266CDC">
        <w:rPr>
          <w:rFonts w:eastAsia="Calibri"/>
          <w:b/>
          <w:bCs/>
          <w:szCs w:val="24"/>
        </w:rPr>
        <w:t>Section 4.106.4.2.2.1.2 Electric vehicle charging stations (EVCS) dimensions</w:t>
      </w:r>
      <w:r w:rsidRPr="00266CDC">
        <w:rPr>
          <w:rFonts w:eastAsia="Calibri"/>
          <w:szCs w:val="24"/>
        </w:rPr>
        <w:t xml:space="preserve"> is renumbered as Section 4.106.4.2.2.1.1 and </w:t>
      </w:r>
      <w:r w:rsidRPr="00266CDC">
        <w:rPr>
          <w:szCs w:val="24"/>
        </w:rPr>
        <w:t>amended to read as follows:</w:t>
      </w:r>
    </w:p>
    <w:p w14:paraId="3D17C38F" w14:textId="77777777" w:rsidR="007449C6" w:rsidRPr="00124BE8" w:rsidRDefault="007449C6" w:rsidP="007449C6">
      <w:pPr>
        <w:autoSpaceDE w:val="0"/>
        <w:autoSpaceDN w:val="0"/>
        <w:adjustRightInd w:val="0"/>
        <w:ind w:left="360"/>
        <w:rPr>
          <w:rFonts w:eastAsia="Calibri" w:cstheme="minorHAnsi"/>
          <w:b/>
          <w:szCs w:val="24"/>
        </w:rPr>
      </w:pPr>
      <w:r w:rsidRPr="00124BE8">
        <w:rPr>
          <w:rFonts w:eastAsia="Calibri" w:cstheme="minorHAnsi"/>
          <w:b/>
          <w:szCs w:val="24"/>
        </w:rPr>
        <w:t>4.106.4.2.2.1.</w:t>
      </w:r>
      <w:r w:rsidRPr="00124BE8">
        <w:rPr>
          <w:rFonts w:eastAsia="Calibri" w:cstheme="minorHAnsi"/>
          <w:b/>
          <w:strike/>
          <w:szCs w:val="24"/>
        </w:rPr>
        <w:t>2</w:t>
      </w:r>
      <w:r w:rsidRPr="00124BE8">
        <w:rPr>
          <w:rFonts w:eastAsia="Calibri" w:cstheme="minorHAnsi"/>
          <w:b/>
          <w:szCs w:val="24"/>
          <w:u w:val="single"/>
        </w:rPr>
        <w:t>1</w:t>
      </w:r>
      <w:r w:rsidRPr="00124BE8">
        <w:rPr>
          <w:rFonts w:eastAsia="Calibri" w:cstheme="minorHAnsi"/>
          <w:b/>
          <w:szCs w:val="24"/>
        </w:rPr>
        <w:t xml:space="preserve"> Electric vehicle charging stations (EVCS) </w:t>
      </w:r>
      <w:r w:rsidRPr="00124BE8">
        <w:rPr>
          <w:rFonts w:eastAsia="Calibri" w:cstheme="minorHAnsi"/>
          <w:b/>
          <w:szCs w:val="24"/>
          <w:u w:val="single"/>
        </w:rPr>
        <w:t xml:space="preserve">spaces </w:t>
      </w:r>
      <w:r w:rsidRPr="00124BE8">
        <w:rPr>
          <w:rFonts w:eastAsia="Calibri" w:cstheme="minorHAnsi"/>
          <w:b/>
          <w:bCs/>
          <w:szCs w:val="24"/>
          <w:u w:val="single"/>
        </w:rPr>
        <w:t>with EV chargers installed</w:t>
      </w:r>
      <w:r w:rsidRPr="00124BE8">
        <w:rPr>
          <w:rFonts w:eastAsia="Calibri" w:cstheme="minorHAnsi"/>
          <w:b/>
          <w:bCs/>
          <w:szCs w:val="24"/>
        </w:rPr>
        <w:t xml:space="preserve">; </w:t>
      </w:r>
      <w:r w:rsidRPr="00124BE8">
        <w:rPr>
          <w:rFonts w:eastAsia="Calibri" w:cstheme="minorHAnsi"/>
          <w:b/>
          <w:szCs w:val="24"/>
        </w:rPr>
        <w:t xml:space="preserve">dimensions </w:t>
      </w:r>
      <w:r w:rsidRPr="00124BE8">
        <w:rPr>
          <w:rFonts w:eastAsia="Calibri" w:cstheme="minorHAnsi"/>
          <w:b/>
          <w:szCs w:val="24"/>
          <w:u w:val="single"/>
        </w:rPr>
        <w:t>and location</w:t>
      </w:r>
      <w:r w:rsidRPr="00124BE8">
        <w:rPr>
          <w:rFonts w:eastAsia="Calibri" w:cstheme="minorHAnsi"/>
          <w:b/>
          <w:szCs w:val="24"/>
        </w:rPr>
        <w:t xml:space="preserve">. </w:t>
      </w:r>
      <w:r w:rsidRPr="00124BE8">
        <w:rPr>
          <w:rFonts w:eastAsia="Calibri" w:cstheme="minorHAnsi"/>
          <w:strike/>
          <w:szCs w:val="24"/>
        </w:rPr>
        <w:t>The</w:t>
      </w:r>
      <w:r w:rsidRPr="00124BE8">
        <w:rPr>
          <w:rFonts w:eastAsia="Calibri" w:cstheme="minorHAnsi"/>
          <w:szCs w:val="24"/>
        </w:rPr>
        <w:t xml:space="preserve"> </w:t>
      </w:r>
      <w:r w:rsidRPr="00124BE8">
        <w:rPr>
          <w:rFonts w:eastAsia="Calibri" w:cstheme="minorHAnsi"/>
          <w:strike/>
          <w:szCs w:val="24"/>
        </w:rPr>
        <w:t>charging</w:t>
      </w:r>
      <w:r w:rsidRPr="00124BE8">
        <w:rPr>
          <w:rFonts w:eastAsia="Calibri" w:cstheme="minorHAnsi"/>
          <w:szCs w:val="24"/>
        </w:rPr>
        <w:t xml:space="preserve"> </w:t>
      </w:r>
      <w:r w:rsidRPr="00124BE8">
        <w:rPr>
          <w:rFonts w:eastAsia="Calibri" w:cstheme="minorHAnsi"/>
          <w:szCs w:val="24"/>
          <w:u w:val="single"/>
        </w:rPr>
        <w:t>EVCS</w:t>
      </w:r>
      <w:r w:rsidRPr="00124BE8">
        <w:rPr>
          <w:rFonts w:eastAsia="Calibri" w:cstheme="minorHAnsi"/>
          <w:szCs w:val="24"/>
        </w:rPr>
        <w:t xml:space="preserve"> spaces shall be designed to comply with the following:</w:t>
      </w:r>
    </w:p>
    <w:p w14:paraId="53B61DBD" w14:textId="77777777" w:rsidR="007449C6" w:rsidRPr="003E54A5" w:rsidRDefault="007449C6" w:rsidP="00AE7B84">
      <w:pPr>
        <w:pStyle w:val="ListParagraph"/>
        <w:widowControl w:val="0"/>
        <w:numPr>
          <w:ilvl w:val="0"/>
          <w:numId w:val="7"/>
        </w:numPr>
        <w:spacing w:before="100" w:beforeAutospacing="1"/>
        <w:ind w:left="1080"/>
        <w:rPr>
          <w:rFonts w:eastAsia="Calibri" w:cstheme="minorHAnsi"/>
          <w:sz w:val="24"/>
          <w:szCs w:val="24"/>
        </w:rPr>
      </w:pPr>
      <w:r w:rsidRPr="003E54A5">
        <w:rPr>
          <w:rFonts w:eastAsia="Calibri" w:cstheme="minorHAnsi"/>
          <w:sz w:val="24"/>
          <w:szCs w:val="24"/>
        </w:rPr>
        <w:t>The minimum length of each EV</w:t>
      </w:r>
      <w:r w:rsidRPr="003E54A5">
        <w:rPr>
          <w:rStyle w:val="CommentReference"/>
          <w:rFonts w:cstheme="minorHAnsi"/>
          <w:sz w:val="24"/>
          <w:szCs w:val="24"/>
          <w:u w:val="single"/>
        </w:rPr>
        <w:t>CS</w:t>
      </w:r>
      <w:r w:rsidRPr="003E54A5">
        <w:rPr>
          <w:rStyle w:val="CommentReference"/>
          <w:rFonts w:cstheme="minorHAnsi"/>
          <w:sz w:val="24"/>
          <w:szCs w:val="24"/>
        </w:rPr>
        <w:t xml:space="preserve"> </w:t>
      </w:r>
      <w:r w:rsidRPr="003E54A5">
        <w:rPr>
          <w:rFonts w:eastAsia="Calibri" w:cstheme="minorHAnsi"/>
          <w:sz w:val="24"/>
          <w:szCs w:val="24"/>
        </w:rPr>
        <w:t>space shall be 18 feet (5486 mm).</w:t>
      </w:r>
    </w:p>
    <w:p w14:paraId="0C9FBEDE" w14:textId="77777777" w:rsidR="007449C6" w:rsidRPr="003E54A5" w:rsidRDefault="007449C6" w:rsidP="00AE7B84">
      <w:pPr>
        <w:pStyle w:val="ListParagraph"/>
        <w:widowControl w:val="0"/>
        <w:numPr>
          <w:ilvl w:val="0"/>
          <w:numId w:val="7"/>
        </w:numPr>
        <w:spacing w:before="100" w:beforeAutospacing="1"/>
        <w:ind w:left="1080"/>
        <w:rPr>
          <w:rFonts w:eastAsia="Calibri" w:cstheme="minorHAnsi"/>
          <w:sz w:val="24"/>
          <w:szCs w:val="24"/>
        </w:rPr>
      </w:pPr>
      <w:r w:rsidRPr="003E54A5">
        <w:rPr>
          <w:rFonts w:eastAsia="Calibri" w:cstheme="minorHAnsi"/>
          <w:sz w:val="24"/>
          <w:szCs w:val="24"/>
        </w:rPr>
        <w:t>The minimum width of each EV</w:t>
      </w:r>
      <w:r w:rsidRPr="003E54A5">
        <w:rPr>
          <w:rStyle w:val="CommentReference"/>
          <w:rFonts w:cstheme="minorHAnsi"/>
          <w:sz w:val="24"/>
          <w:szCs w:val="24"/>
          <w:u w:val="single"/>
        </w:rPr>
        <w:t>CS</w:t>
      </w:r>
      <w:r w:rsidRPr="003E54A5">
        <w:rPr>
          <w:rFonts w:eastAsia="Calibri" w:cstheme="minorHAnsi"/>
          <w:sz w:val="24"/>
          <w:szCs w:val="24"/>
        </w:rPr>
        <w:t xml:space="preserve"> space shall be 9 feet (2743 mm).</w:t>
      </w:r>
    </w:p>
    <w:p w14:paraId="6B1B42B4" w14:textId="3E863C5F" w:rsidR="007449C6" w:rsidRPr="00877D58" w:rsidRDefault="007449C6" w:rsidP="00DC6928">
      <w:pPr>
        <w:pStyle w:val="ListParagraph"/>
        <w:widowControl w:val="0"/>
        <w:numPr>
          <w:ilvl w:val="0"/>
          <w:numId w:val="7"/>
        </w:numPr>
        <w:spacing w:before="100" w:beforeAutospacing="1"/>
        <w:ind w:left="1080"/>
        <w:contextualSpacing/>
        <w:rPr>
          <w:rFonts w:eastAsia="Calibri" w:cstheme="minorHAnsi"/>
          <w:sz w:val="24"/>
          <w:szCs w:val="24"/>
          <w:u w:val="single"/>
        </w:rPr>
      </w:pPr>
      <w:r w:rsidRPr="00877D58">
        <w:rPr>
          <w:rFonts w:eastAsia="Calibri" w:cstheme="minorHAnsi"/>
          <w:sz w:val="24"/>
          <w:szCs w:val="24"/>
        </w:rPr>
        <w:t xml:space="preserve">One in every 25 </w:t>
      </w:r>
      <w:r w:rsidRPr="00877D58">
        <w:rPr>
          <w:rFonts w:eastAsia="Calibri" w:cstheme="minorHAnsi"/>
          <w:strike/>
          <w:sz w:val="24"/>
          <w:szCs w:val="24"/>
        </w:rPr>
        <w:t>charging</w:t>
      </w:r>
      <w:r w:rsidRPr="00877D58">
        <w:rPr>
          <w:rFonts w:eastAsia="Calibri" w:cstheme="minorHAnsi"/>
          <w:sz w:val="24"/>
          <w:szCs w:val="24"/>
        </w:rPr>
        <w:t xml:space="preserve"> EV</w:t>
      </w:r>
      <w:r w:rsidRPr="00877D58">
        <w:rPr>
          <w:rFonts w:eastAsia="Calibri" w:cstheme="minorHAnsi"/>
          <w:sz w:val="24"/>
          <w:szCs w:val="24"/>
          <w:u w:val="single"/>
        </w:rPr>
        <w:t xml:space="preserve">CS </w:t>
      </w:r>
      <w:r w:rsidRPr="00877D58">
        <w:rPr>
          <w:rFonts w:eastAsia="Calibri" w:cstheme="minorHAnsi"/>
          <w:sz w:val="24"/>
          <w:szCs w:val="24"/>
        </w:rPr>
        <w:t>spaces, but not less than one, shall also have an 8-foot (2438 mm) wide aisle. A 5-foot (1524 mm) wide minimum aisle shall be</w:t>
      </w:r>
      <w:r w:rsidR="00877D58">
        <w:rPr>
          <w:rFonts w:eastAsia="Calibri" w:cstheme="minorHAnsi"/>
          <w:sz w:val="24"/>
          <w:szCs w:val="24"/>
        </w:rPr>
        <w:t xml:space="preserve"> </w:t>
      </w:r>
      <w:r w:rsidRPr="00877D58">
        <w:rPr>
          <w:rFonts w:eastAsia="Calibri" w:cstheme="minorHAnsi"/>
          <w:sz w:val="24"/>
          <w:szCs w:val="24"/>
        </w:rPr>
        <w:t>permitted provided the minimum width of the EV</w:t>
      </w:r>
      <w:r w:rsidRPr="00877D58">
        <w:rPr>
          <w:rFonts w:eastAsia="Calibri" w:cstheme="minorHAnsi"/>
          <w:sz w:val="24"/>
          <w:szCs w:val="24"/>
          <w:u w:val="single"/>
        </w:rPr>
        <w:t>CS</w:t>
      </w:r>
      <w:r w:rsidRPr="00877D58">
        <w:rPr>
          <w:rFonts w:eastAsia="Calibri" w:cstheme="minorHAnsi"/>
          <w:sz w:val="24"/>
          <w:szCs w:val="24"/>
        </w:rPr>
        <w:t xml:space="preserve"> space is 12 feet (3658 mm). </w:t>
      </w:r>
      <w:r w:rsidRPr="00877D58">
        <w:rPr>
          <w:rFonts w:eastAsia="Calibri" w:cstheme="minorHAnsi"/>
          <w:strike/>
          <w:sz w:val="24"/>
          <w:szCs w:val="24"/>
        </w:rPr>
        <w:t>a.</w:t>
      </w:r>
      <w:r w:rsidRPr="00877D58">
        <w:rPr>
          <w:rFonts w:eastAsia="Calibri" w:cstheme="minorHAnsi"/>
          <w:sz w:val="24"/>
          <w:szCs w:val="24"/>
        </w:rPr>
        <w:t xml:space="preserve"> Surface slope for this EV</w:t>
      </w:r>
      <w:r w:rsidRPr="00877D58">
        <w:rPr>
          <w:rFonts w:eastAsia="Calibri" w:cstheme="minorHAnsi"/>
          <w:sz w:val="24"/>
          <w:szCs w:val="24"/>
          <w:u w:val="single"/>
        </w:rPr>
        <w:t>CS</w:t>
      </w:r>
      <w:r w:rsidRPr="00877D58">
        <w:rPr>
          <w:rFonts w:eastAsia="Calibri" w:cstheme="minorHAnsi"/>
          <w:sz w:val="24"/>
          <w:szCs w:val="24"/>
        </w:rPr>
        <w:t xml:space="preserve"> space and the aisle shall not exceed 1 unit vertical in 48 units horizontal (2.083 percent slope) in any direction. </w:t>
      </w:r>
      <w:r w:rsidRPr="00877D58">
        <w:rPr>
          <w:rFonts w:eastAsia="Calibri" w:cstheme="minorHAnsi"/>
          <w:sz w:val="24"/>
          <w:szCs w:val="24"/>
          <w:u w:val="single"/>
        </w:rPr>
        <w:t>These EVCS spaces shall also comply with at least one of the following:</w:t>
      </w:r>
    </w:p>
    <w:p w14:paraId="0FDAF073" w14:textId="77777777" w:rsidR="007449C6" w:rsidRPr="003E54A5" w:rsidRDefault="007449C6" w:rsidP="00AE7B84">
      <w:pPr>
        <w:pStyle w:val="ListParagraph"/>
        <w:widowControl w:val="0"/>
        <w:numPr>
          <w:ilvl w:val="1"/>
          <w:numId w:val="7"/>
        </w:numPr>
        <w:spacing w:before="100" w:beforeAutospacing="1"/>
        <w:ind w:left="2160"/>
        <w:rPr>
          <w:rFonts w:eastAsia="Calibri" w:cstheme="minorHAnsi"/>
          <w:sz w:val="24"/>
          <w:szCs w:val="24"/>
          <w:u w:val="single"/>
        </w:rPr>
      </w:pPr>
      <w:r w:rsidRPr="003E54A5">
        <w:rPr>
          <w:rFonts w:eastAsia="Calibri" w:cstheme="minorHAnsi"/>
          <w:sz w:val="24"/>
          <w:szCs w:val="24"/>
          <w:u w:val="single"/>
        </w:rPr>
        <w:t xml:space="preserve">The EVCS space shall be located adjacent to an accessible parking space meeting the requirements of the </w:t>
      </w:r>
      <w:r w:rsidRPr="003E54A5">
        <w:rPr>
          <w:rFonts w:eastAsia="Calibri" w:cstheme="minorHAnsi"/>
          <w:i/>
          <w:iCs/>
          <w:sz w:val="24"/>
          <w:szCs w:val="24"/>
          <w:u w:val="single"/>
        </w:rPr>
        <w:t>California Building Code</w:t>
      </w:r>
      <w:r w:rsidRPr="003E54A5">
        <w:rPr>
          <w:rFonts w:eastAsia="Calibri" w:cstheme="minorHAnsi"/>
          <w:sz w:val="24"/>
          <w:szCs w:val="24"/>
          <w:u w:val="single"/>
        </w:rPr>
        <w:t>, Chapter 11A, to allow use of the EV charger from the accessible parking space.</w:t>
      </w:r>
    </w:p>
    <w:p w14:paraId="5D472565" w14:textId="77777777" w:rsidR="007449C6" w:rsidRPr="003E54A5" w:rsidRDefault="007449C6" w:rsidP="00AE7B84">
      <w:pPr>
        <w:pStyle w:val="ListParagraph"/>
        <w:widowControl w:val="0"/>
        <w:numPr>
          <w:ilvl w:val="1"/>
          <w:numId w:val="7"/>
        </w:numPr>
        <w:spacing w:before="100" w:beforeAutospacing="1"/>
        <w:ind w:left="2160"/>
        <w:rPr>
          <w:rFonts w:eastAsia="Calibri" w:cstheme="minorHAnsi"/>
          <w:sz w:val="24"/>
          <w:szCs w:val="24"/>
          <w:u w:val="single"/>
        </w:rPr>
      </w:pPr>
      <w:r w:rsidRPr="003E54A5">
        <w:rPr>
          <w:rFonts w:eastAsia="Calibri" w:cstheme="minorHAnsi"/>
          <w:sz w:val="24"/>
          <w:szCs w:val="24"/>
          <w:u w:val="single"/>
        </w:rPr>
        <w:t xml:space="preserve">The EVCS space shall be located on an accessible route, as defined in the </w:t>
      </w:r>
      <w:r w:rsidRPr="003E54A5">
        <w:rPr>
          <w:rFonts w:eastAsia="Calibri" w:cstheme="minorHAnsi"/>
          <w:i/>
          <w:iCs/>
          <w:sz w:val="24"/>
          <w:szCs w:val="24"/>
          <w:u w:val="single"/>
        </w:rPr>
        <w:t>California Building Code</w:t>
      </w:r>
      <w:r w:rsidRPr="003E54A5">
        <w:rPr>
          <w:rFonts w:eastAsia="Calibri" w:cstheme="minorHAnsi"/>
          <w:sz w:val="24"/>
          <w:szCs w:val="24"/>
          <w:u w:val="single"/>
        </w:rPr>
        <w:t>, Chapter 2, to the building.</w:t>
      </w:r>
    </w:p>
    <w:p w14:paraId="0D7287AF" w14:textId="77777777" w:rsidR="007449C6" w:rsidRPr="00124BE8" w:rsidRDefault="007449C6" w:rsidP="007449C6">
      <w:pPr>
        <w:autoSpaceDE w:val="0"/>
        <w:autoSpaceDN w:val="0"/>
        <w:adjustRightInd w:val="0"/>
        <w:ind w:left="1800"/>
        <w:rPr>
          <w:rFonts w:eastAsia="Calibri" w:cstheme="minorHAnsi"/>
          <w:szCs w:val="24"/>
          <w:u w:val="single"/>
        </w:rPr>
      </w:pPr>
      <w:r w:rsidRPr="00124BE8">
        <w:rPr>
          <w:rFonts w:cstheme="minorHAnsi"/>
          <w:b/>
          <w:bCs/>
          <w:szCs w:val="24"/>
          <w:u w:val="single"/>
          <w:shd w:val="clear" w:color="auto" w:fill="FFFFFF"/>
        </w:rPr>
        <w:t>Exception:</w:t>
      </w:r>
      <w:r w:rsidRPr="00124BE8">
        <w:rPr>
          <w:rFonts w:cstheme="minorHAnsi"/>
          <w:szCs w:val="24"/>
          <w:u w:val="single"/>
        </w:rPr>
        <w:t xml:space="preserve"> </w:t>
      </w:r>
      <w:r w:rsidRPr="00124BE8">
        <w:rPr>
          <w:rFonts w:eastAsia="Calibri" w:cstheme="minorHAnsi"/>
          <w:szCs w:val="24"/>
          <w:u w:val="single"/>
        </w:rPr>
        <w:t xml:space="preserve">Electric vehicle charging stations designed and constructed in compliance with the </w:t>
      </w:r>
      <w:r w:rsidRPr="00124BE8">
        <w:rPr>
          <w:rFonts w:eastAsia="Calibri" w:cstheme="minorHAnsi"/>
          <w:i/>
          <w:iCs/>
          <w:szCs w:val="24"/>
          <w:u w:val="single"/>
        </w:rPr>
        <w:t>California Building Code</w:t>
      </w:r>
      <w:r w:rsidRPr="00124BE8">
        <w:rPr>
          <w:rFonts w:eastAsia="Calibri" w:cstheme="minorHAnsi"/>
          <w:szCs w:val="24"/>
          <w:u w:val="single"/>
        </w:rPr>
        <w:t>, Chapter 11B, are not required to comply with Section 4.106.4.2.2.1.1.</w:t>
      </w:r>
    </w:p>
    <w:p w14:paraId="7DCBFEF1" w14:textId="77777777" w:rsidR="007449C6" w:rsidRPr="00124BE8" w:rsidRDefault="007449C6" w:rsidP="007449C6">
      <w:pPr>
        <w:autoSpaceDE w:val="0"/>
        <w:autoSpaceDN w:val="0"/>
        <w:adjustRightInd w:val="0"/>
        <w:ind w:left="1800"/>
        <w:rPr>
          <w:rFonts w:cstheme="minorHAnsi"/>
          <w:b/>
          <w:bCs/>
          <w:strike/>
          <w:szCs w:val="24"/>
          <w:shd w:val="clear" w:color="auto" w:fill="FFFFFF"/>
        </w:rPr>
      </w:pPr>
    </w:p>
    <w:p w14:paraId="16005080" w14:textId="77777777" w:rsidR="007449C6" w:rsidRPr="00266CDC" w:rsidRDefault="007449C6" w:rsidP="007449C6">
      <w:pPr>
        <w:textAlignment w:val="baseline"/>
        <w:rPr>
          <w:szCs w:val="24"/>
        </w:rPr>
      </w:pPr>
      <w:r w:rsidRPr="00266CDC">
        <w:rPr>
          <w:b/>
          <w:bCs/>
          <w:szCs w:val="24"/>
        </w:rPr>
        <w:t>Section 4.106.4.2.2.1.3</w:t>
      </w:r>
      <w:r w:rsidRPr="00266CDC">
        <w:rPr>
          <w:rFonts w:eastAsia="Calibri"/>
          <w:b/>
          <w:bCs/>
          <w:szCs w:val="24"/>
        </w:rPr>
        <w:t xml:space="preserve"> </w:t>
      </w:r>
      <w:r w:rsidRPr="00266CDC">
        <w:rPr>
          <w:rFonts w:eastAsia="Calibri"/>
          <w:b/>
          <w:bCs/>
          <w:color w:val="000000"/>
          <w:szCs w:val="24"/>
          <w:shd w:val="clear" w:color="auto" w:fill="FFFFFF"/>
        </w:rPr>
        <w:t>Accessible EV spaces</w:t>
      </w:r>
      <w:r w:rsidRPr="00266CDC">
        <w:rPr>
          <w:rFonts w:eastAsia="Calibri"/>
          <w:szCs w:val="24"/>
        </w:rPr>
        <w:t xml:space="preserve"> is renumbered as Section 4.106.4.2.2.1.2 </w:t>
      </w:r>
      <w:r w:rsidRPr="00266CDC">
        <w:rPr>
          <w:szCs w:val="24"/>
        </w:rPr>
        <w:t>and amended to read as follows:</w:t>
      </w:r>
    </w:p>
    <w:p w14:paraId="58457262" w14:textId="77777777" w:rsidR="00237D49" w:rsidRPr="00266CDC" w:rsidRDefault="00237D49" w:rsidP="007449C6">
      <w:pPr>
        <w:textAlignment w:val="baseline"/>
        <w:rPr>
          <w:szCs w:val="24"/>
        </w:rPr>
      </w:pPr>
    </w:p>
    <w:p w14:paraId="251CF62C" w14:textId="3ED43CA4" w:rsidR="007449C6" w:rsidRPr="00266CDC" w:rsidRDefault="007449C6" w:rsidP="007449C6">
      <w:pPr>
        <w:autoSpaceDE w:val="0"/>
        <w:autoSpaceDN w:val="0"/>
        <w:adjustRightInd w:val="0"/>
        <w:ind w:left="720"/>
        <w:rPr>
          <w:rFonts w:eastAsia="Calibri"/>
          <w:szCs w:val="24"/>
        </w:rPr>
      </w:pPr>
      <w:r w:rsidRPr="00266CDC">
        <w:rPr>
          <w:b/>
          <w:bCs/>
          <w:szCs w:val="24"/>
        </w:rPr>
        <w:t>4.106.4.2.2.1.</w:t>
      </w:r>
      <w:r w:rsidRPr="00266CDC">
        <w:rPr>
          <w:b/>
          <w:bCs/>
          <w:strike/>
          <w:szCs w:val="24"/>
        </w:rPr>
        <w:t>3</w:t>
      </w:r>
      <w:r w:rsidRPr="00266CDC">
        <w:rPr>
          <w:b/>
          <w:bCs/>
          <w:szCs w:val="24"/>
          <w:u w:val="single"/>
        </w:rPr>
        <w:t>2</w:t>
      </w:r>
      <w:r w:rsidRPr="00266CDC">
        <w:rPr>
          <w:b/>
          <w:bCs/>
          <w:szCs w:val="24"/>
        </w:rPr>
        <w:t xml:space="preserve"> </w:t>
      </w:r>
      <w:r w:rsidRPr="00266CDC">
        <w:rPr>
          <w:rFonts w:eastAsia="Calibri"/>
          <w:b/>
          <w:bCs/>
          <w:szCs w:val="24"/>
        </w:rPr>
        <w:t xml:space="preserve">Accessible </w:t>
      </w:r>
      <w:r w:rsidRPr="00266CDC">
        <w:rPr>
          <w:rFonts w:eastAsia="Calibri"/>
          <w:b/>
          <w:bCs/>
          <w:strike/>
          <w:szCs w:val="24"/>
        </w:rPr>
        <w:t>EV</w:t>
      </w:r>
      <w:r w:rsidRPr="00266CDC">
        <w:rPr>
          <w:rFonts w:eastAsia="Calibri"/>
          <w:b/>
          <w:bCs/>
          <w:szCs w:val="24"/>
        </w:rPr>
        <w:t xml:space="preserve"> </w:t>
      </w:r>
      <w:r w:rsidRPr="00266CDC">
        <w:rPr>
          <w:rFonts w:eastAsia="Calibri"/>
          <w:b/>
          <w:bCs/>
          <w:szCs w:val="24"/>
          <w:u w:val="single"/>
        </w:rPr>
        <w:t>electric vehicle charging station</w:t>
      </w:r>
      <w:r w:rsidRPr="00266CDC">
        <w:rPr>
          <w:rFonts w:eastAsia="Calibri"/>
          <w:b/>
          <w:bCs/>
          <w:szCs w:val="24"/>
        </w:rPr>
        <w:t xml:space="preserve"> spaces. </w:t>
      </w:r>
      <w:r w:rsidRPr="00266CDC">
        <w:rPr>
          <w:rFonts w:eastAsia="Calibri"/>
          <w:szCs w:val="24"/>
        </w:rPr>
        <w:t>In addition to the requirements in Section</w:t>
      </w:r>
      <w:r w:rsidRPr="00266CDC">
        <w:rPr>
          <w:rFonts w:eastAsia="Calibri"/>
          <w:strike/>
          <w:szCs w:val="24"/>
        </w:rPr>
        <w:t xml:space="preserve">s </w:t>
      </w:r>
      <w:r w:rsidRPr="00266CDC">
        <w:rPr>
          <w:rFonts w:eastAsia="Calibri"/>
          <w:szCs w:val="24"/>
        </w:rPr>
        <w:t xml:space="preserve">4.106.4.2.2.1.1 </w:t>
      </w:r>
      <w:r w:rsidRPr="00266CDC">
        <w:rPr>
          <w:rFonts w:eastAsia="Calibri"/>
          <w:strike/>
          <w:szCs w:val="24"/>
        </w:rPr>
        <w:t>and 4.106.4.2.2.1.2</w:t>
      </w:r>
      <w:r w:rsidRPr="00266CDC">
        <w:rPr>
          <w:rFonts w:eastAsia="Calibri"/>
          <w:szCs w:val="24"/>
        </w:rPr>
        <w:t xml:space="preserve">, all </w:t>
      </w:r>
      <w:r w:rsidRPr="00266CDC">
        <w:rPr>
          <w:rFonts w:eastAsia="Calibri"/>
          <w:strike/>
          <w:szCs w:val="24"/>
        </w:rPr>
        <w:t>EVSE</w:t>
      </w:r>
      <w:r w:rsidRPr="00266CDC">
        <w:rPr>
          <w:rFonts w:eastAsia="Calibri"/>
          <w:szCs w:val="24"/>
        </w:rPr>
        <w:t xml:space="preserve"> </w:t>
      </w:r>
      <w:r w:rsidRPr="00266CDC">
        <w:rPr>
          <w:rFonts w:eastAsia="Calibri"/>
          <w:szCs w:val="24"/>
          <w:u w:val="single"/>
        </w:rPr>
        <w:t>EV chargers</w:t>
      </w:r>
      <w:r w:rsidRPr="00266CDC">
        <w:rPr>
          <w:rFonts w:eastAsia="Calibri"/>
          <w:szCs w:val="24"/>
        </w:rPr>
        <w:t xml:space="preserve">, </w:t>
      </w:r>
      <w:r w:rsidRPr="00266CDC">
        <w:rPr>
          <w:rFonts w:eastAsia="Calibri"/>
          <w:strike/>
          <w:szCs w:val="24"/>
        </w:rPr>
        <w:t>when</w:t>
      </w:r>
      <w:r w:rsidR="0010323E">
        <w:rPr>
          <w:rFonts w:eastAsia="Calibri"/>
          <w:strike/>
          <w:szCs w:val="24"/>
        </w:rPr>
        <w:t xml:space="preserve"> </w:t>
      </w:r>
      <w:r w:rsidRPr="00266CDC">
        <w:rPr>
          <w:rFonts w:eastAsia="Calibri"/>
          <w:szCs w:val="24"/>
          <w:u w:val="single"/>
        </w:rPr>
        <w:t xml:space="preserve">where </w:t>
      </w:r>
      <w:r w:rsidRPr="00266CDC">
        <w:rPr>
          <w:rFonts w:eastAsia="Calibri"/>
          <w:szCs w:val="24"/>
        </w:rPr>
        <w:t xml:space="preserve">installed, shall comply with the accessibility provisions for EV chargers in the </w:t>
      </w:r>
      <w:r w:rsidRPr="00266CDC">
        <w:rPr>
          <w:rFonts w:eastAsia="Calibri"/>
          <w:i/>
          <w:iCs/>
          <w:szCs w:val="24"/>
        </w:rPr>
        <w:t>California Building Code</w:t>
      </w:r>
      <w:r w:rsidRPr="00266CDC">
        <w:rPr>
          <w:rFonts w:eastAsia="Calibri"/>
          <w:szCs w:val="24"/>
        </w:rPr>
        <w:t xml:space="preserve">, Chapter 11B. EV ready spaces and EVCS in multifamily developments shall comply with </w:t>
      </w:r>
      <w:r w:rsidRPr="00266CDC">
        <w:rPr>
          <w:rFonts w:eastAsia="Calibri"/>
          <w:i/>
          <w:iCs/>
          <w:szCs w:val="24"/>
        </w:rPr>
        <w:t>California Building Code</w:t>
      </w:r>
      <w:r w:rsidRPr="00266CDC">
        <w:rPr>
          <w:rFonts w:eastAsia="Calibri"/>
          <w:szCs w:val="24"/>
        </w:rPr>
        <w:t>, Chapter 11A, Section 1109A.</w:t>
      </w:r>
    </w:p>
    <w:p w14:paraId="631CCE40" w14:textId="77777777" w:rsidR="007449C6" w:rsidRPr="00266CDC" w:rsidRDefault="007449C6" w:rsidP="007449C6">
      <w:pPr>
        <w:autoSpaceDE w:val="0"/>
        <w:autoSpaceDN w:val="0"/>
        <w:adjustRightInd w:val="0"/>
        <w:ind w:left="720"/>
        <w:rPr>
          <w:rFonts w:eastAsia="Calibri"/>
          <w:szCs w:val="24"/>
        </w:rPr>
      </w:pPr>
    </w:p>
    <w:p w14:paraId="6321460A" w14:textId="77777777" w:rsidR="007449C6" w:rsidRPr="00266CDC" w:rsidRDefault="007449C6" w:rsidP="007449C6">
      <w:pPr>
        <w:rPr>
          <w:szCs w:val="24"/>
        </w:rPr>
      </w:pPr>
      <w:r w:rsidRPr="00266CDC">
        <w:rPr>
          <w:b/>
          <w:bCs/>
          <w:szCs w:val="24"/>
        </w:rPr>
        <w:t>Section 4.106.4.2.3 EV space requirements</w:t>
      </w:r>
      <w:r w:rsidRPr="00266CDC">
        <w:rPr>
          <w:szCs w:val="24"/>
        </w:rPr>
        <w:t xml:space="preserve"> is deleted in its entirety and Marked as “Reserved”.</w:t>
      </w:r>
    </w:p>
    <w:p w14:paraId="0E88D0D7" w14:textId="77777777" w:rsidR="007449C6" w:rsidRPr="00266CDC" w:rsidRDefault="007449C6" w:rsidP="007449C6">
      <w:pPr>
        <w:rPr>
          <w:szCs w:val="24"/>
        </w:rPr>
      </w:pPr>
    </w:p>
    <w:p w14:paraId="31C08E77" w14:textId="77777777" w:rsidR="007449C6" w:rsidRPr="00266CDC" w:rsidRDefault="007449C6" w:rsidP="007449C6">
      <w:pPr>
        <w:rPr>
          <w:szCs w:val="24"/>
        </w:rPr>
      </w:pPr>
      <w:r w:rsidRPr="00266CDC">
        <w:rPr>
          <w:b/>
          <w:bCs/>
          <w:szCs w:val="24"/>
        </w:rPr>
        <w:t xml:space="preserve">Section 4.106.4.2.4 </w:t>
      </w:r>
      <w:r w:rsidRPr="00266CDC">
        <w:rPr>
          <w:rFonts w:eastAsia="Calibri"/>
          <w:b/>
          <w:bCs/>
          <w:color w:val="000000"/>
          <w:szCs w:val="24"/>
          <w:shd w:val="clear" w:color="auto" w:fill="FFFFFF"/>
        </w:rPr>
        <w:t>Identification</w:t>
      </w:r>
      <w:r w:rsidRPr="00266CDC">
        <w:rPr>
          <w:szCs w:val="24"/>
        </w:rPr>
        <w:t xml:space="preserve"> is deleted in its entirety and Marked as “Reserved”.</w:t>
      </w:r>
    </w:p>
    <w:p w14:paraId="43263436" w14:textId="77777777" w:rsidR="007449C6" w:rsidRPr="00266CDC" w:rsidRDefault="007449C6" w:rsidP="007449C6">
      <w:pPr>
        <w:rPr>
          <w:szCs w:val="24"/>
        </w:rPr>
      </w:pPr>
    </w:p>
    <w:p w14:paraId="2BADD250" w14:textId="44D82FF9" w:rsidR="007449C6" w:rsidRPr="00266CDC" w:rsidRDefault="007449C6" w:rsidP="007449C6">
      <w:pPr>
        <w:textAlignment w:val="baseline"/>
        <w:rPr>
          <w:szCs w:val="24"/>
        </w:rPr>
      </w:pPr>
      <w:r w:rsidRPr="00266CDC">
        <w:rPr>
          <w:b/>
          <w:bCs/>
          <w:szCs w:val="24"/>
        </w:rPr>
        <w:t>Section 4.106.4.3</w:t>
      </w:r>
      <w:r w:rsidRPr="00266CDC">
        <w:rPr>
          <w:rFonts w:eastAsia="Calibri"/>
          <w:b/>
          <w:bCs/>
          <w:color w:val="000000"/>
          <w:szCs w:val="24"/>
          <w:shd w:val="clear" w:color="auto" w:fill="FFFFFF"/>
        </w:rPr>
        <w:t xml:space="preserve"> </w:t>
      </w:r>
      <w:r w:rsidRPr="00266CDC">
        <w:rPr>
          <w:rFonts w:eastAsia="Calibri"/>
          <w:b/>
          <w:bCs/>
          <w:szCs w:val="24"/>
        </w:rPr>
        <w:t>Electric vehicle charging for additions and alterations of parking facilities serving existing multifamily buildings</w:t>
      </w:r>
      <w:r w:rsidRPr="00266CDC">
        <w:rPr>
          <w:szCs w:val="24"/>
        </w:rPr>
        <w:t xml:space="preserve"> is amended to read as follows:</w:t>
      </w:r>
      <w:r w:rsidR="003B5062">
        <w:rPr>
          <w:rStyle w:val="FootnoteReference"/>
          <w:szCs w:val="24"/>
        </w:rPr>
        <w:footnoteReference w:id="4"/>
      </w:r>
    </w:p>
    <w:p w14:paraId="466A009B" w14:textId="77777777" w:rsidR="007449C6" w:rsidRPr="00266CDC" w:rsidRDefault="007449C6" w:rsidP="007449C6">
      <w:pPr>
        <w:autoSpaceDE w:val="0"/>
        <w:autoSpaceDN w:val="0"/>
        <w:adjustRightInd w:val="0"/>
        <w:ind w:left="360"/>
        <w:rPr>
          <w:rFonts w:eastAsia="Calibri"/>
          <w:szCs w:val="24"/>
          <w:u w:val="single"/>
        </w:rPr>
      </w:pPr>
      <w:r w:rsidRPr="00266CDC">
        <w:rPr>
          <w:rFonts w:eastAsia="Calibri"/>
          <w:b/>
          <w:bCs/>
          <w:szCs w:val="24"/>
        </w:rPr>
        <w:t xml:space="preserve">4.106.4.3 Electric vehicle charging for additions and </w:t>
      </w:r>
      <w:r w:rsidRPr="00266CDC">
        <w:rPr>
          <w:rFonts w:eastAsia="Calibri"/>
          <w:b/>
          <w:szCs w:val="24"/>
        </w:rPr>
        <w:t>alterations</w:t>
      </w:r>
      <w:r w:rsidRPr="00266CDC">
        <w:rPr>
          <w:rFonts w:eastAsia="Calibri"/>
          <w:b/>
          <w:bCs/>
          <w:szCs w:val="24"/>
        </w:rPr>
        <w:t xml:space="preserve"> of parking facilities serving existing multifamily buildings. </w:t>
      </w:r>
      <w:r w:rsidRPr="00266CDC">
        <w:rPr>
          <w:rFonts w:eastAsia="Calibri"/>
          <w:strike/>
          <w:szCs w:val="24"/>
        </w:rPr>
        <w:t>When</w:t>
      </w:r>
      <w:r w:rsidRPr="00266CDC">
        <w:rPr>
          <w:rFonts w:eastAsia="Calibri"/>
          <w:szCs w:val="24"/>
        </w:rPr>
        <w:t xml:space="preserve"> </w:t>
      </w:r>
      <w:r w:rsidRPr="00266CDC">
        <w:rPr>
          <w:rFonts w:eastAsia="Calibri"/>
          <w:szCs w:val="24"/>
          <w:u w:val="single"/>
        </w:rPr>
        <w:t>Where</w:t>
      </w:r>
      <w:r w:rsidRPr="00266CDC">
        <w:rPr>
          <w:rFonts w:eastAsia="Calibri"/>
          <w:szCs w:val="24"/>
        </w:rPr>
        <w:t xml:space="preserve"> new parking facilities are added, or electrical systems or lighting of existing parking facilities are added or altered and the work requires a building permit, ten (10) percent of the total number of parking spaces added or altered shall be </w:t>
      </w:r>
      <w:r w:rsidRPr="00266CDC">
        <w:rPr>
          <w:rFonts w:eastAsia="Calibri"/>
          <w:strike/>
          <w:szCs w:val="24"/>
        </w:rPr>
        <w:t>electric vehicle charging spaces (</w:t>
      </w:r>
      <w:r w:rsidRPr="00266CDC">
        <w:rPr>
          <w:rFonts w:eastAsia="Calibri"/>
          <w:szCs w:val="24"/>
        </w:rPr>
        <w:t>EV</w:t>
      </w:r>
      <w:r w:rsidRPr="00266CDC">
        <w:rPr>
          <w:rFonts w:eastAsia="Calibri"/>
          <w:szCs w:val="24"/>
          <w:u w:val="single"/>
        </w:rPr>
        <w:t xml:space="preserve"> capable</w:t>
      </w:r>
      <w:r w:rsidRPr="00266CDC">
        <w:rPr>
          <w:rFonts w:eastAsia="Calibri"/>
          <w:strike/>
          <w:szCs w:val="24"/>
        </w:rPr>
        <w:t xml:space="preserve"> </w:t>
      </w:r>
      <w:r w:rsidRPr="00266CDC">
        <w:rPr>
          <w:rFonts w:eastAsia="Calibri"/>
          <w:szCs w:val="24"/>
        </w:rPr>
        <w:t>spaces</w:t>
      </w:r>
      <w:r w:rsidRPr="00266CDC">
        <w:rPr>
          <w:rFonts w:eastAsia="Calibri"/>
          <w:strike/>
          <w:szCs w:val="24"/>
        </w:rPr>
        <w:t xml:space="preserve">) capable of supporting </w:t>
      </w:r>
      <w:r w:rsidRPr="00266CDC">
        <w:rPr>
          <w:rFonts w:eastAsia="Calibri"/>
          <w:szCs w:val="24"/>
          <w:u w:val="single"/>
        </w:rPr>
        <w:t xml:space="preserve">to support </w:t>
      </w:r>
      <w:r w:rsidRPr="00266CDC">
        <w:rPr>
          <w:rFonts w:eastAsia="Calibri"/>
          <w:szCs w:val="24"/>
        </w:rPr>
        <w:t xml:space="preserve">future Level 2 </w:t>
      </w:r>
      <w:r w:rsidRPr="00266CDC">
        <w:rPr>
          <w:rFonts w:eastAsia="Calibri"/>
          <w:strike/>
          <w:szCs w:val="24"/>
        </w:rPr>
        <w:t xml:space="preserve">EVSE </w:t>
      </w:r>
      <w:r w:rsidRPr="00266CDC">
        <w:rPr>
          <w:rFonts w:eastAsia="Calibri"/>
          <w:szCs w:val="24"/>
          <w:u w:val="single"/>
        </w:rPr>
        <w:t>electric vehicle supply equipment</w:t>
      </w:r>
      <w:r w:rsidRPr="00266CDC">
        <w:rPr>
          <w:rFonts w:eastAsia="Calibri"/>
          <w:szCs w:val="24"/>
        </w:rPr>
        <w:t xml:space="preserve">. </w:t>
      </w:r>
      <w:r w:rsidRPr="00266CDC">
        <w:rPr>
          <w:rFonts w:eastAsia="Calibri"/>
          <w:szCs w:val="24"/>
          <w:u w:val="single"/>
        </w:rPr>
        <w:t xml:space="preserve">The service panel or subpanel circuit directory shall identify the overcurrent protective device space(s) reserved for future EV charging purposes as “EV CAPABLE.” </w:t>
      </w:r>
    </w:p>
    <w:p w14:paraId="6BA62754" w14:textId="77777777" w:rsidR="007449C6" w:rsidRPr="00124BE8" w:rsidRDefault="007449C6" w:rsidP="007449C6">
      <w:pPr>
        <w:autoSpaceDE w:val="0"/>
        <w:autoSpaceDN w:val="0"/>
        <w:adjustRightInd w:val="0"/>
        <w:ind w:left="720"/>
        <w:rPr>
          <w:rFonts w:eastAsia="Calibri" w:cstheme="minorHAnsi"/>
          <w:szCs w:val="24"/>
        </w:rPr>
      </w:pPr>
      <w:r w:rsidRPr="00124BE8">
        <w:rPr>
          <w:rFonts w:cstheme="minorHAnsi"/>
          <w:b/>
          <w:bCs/>
          <w:szCs w:val="24"/>
          <w:shd w:val="clear" w:color="auto" w:fill="FFFFFF"/>
        </w:rPr>
        <w:t>Notes:</w:t>
      </w:r>
      <w:r w:rsidRPr="00124BE8">
        <w:rPr>
          <w:rFonts w:cstheme="minorHAnsi"/>
          <w:szCs w:val="24"/>
        </w:rPr>
        <w:t xml:space="preserve"> </w:t>
      </w:r>
    </w:p>
    <w:p w14:paraId="603FA65E" w14:textId="77777777" w:rsidR="007449C6" w:rsidRPr="003E54A5" w:rsidRDefault="007449C6" w:rsidP="00AE7B84">
      <w:pPr>
        <w:pStyle w:val="ListParagraph"/>
        <w:numPr>
          <w:ilvl w:val="1"/>
          <w:numId w:val="6"/>
        </w:numPr>
        <w:autoSpaceDE w:val="0"/>
        <w:autoSpaceDN w:val="0"/>
        <w:adjustRightInd w:val="0"/>
        <w:spacing w:before="100" w:beforeAutospacing="1"/>
        <w:ind w:left="1440"/>
        <w:contextualSpacing/>
        <w:rPr>
          <w:rFonts w:cstheme="minorHAnsi"/>
          <w:sz w:val="24"/>
          <w:szCs w:val="24"/>
          <w:shd w:val="clear" w:color="auto" w:fill="FFFFFF"/>
        </w:rPr>
      </w:pPr>
      <w:r w:rsidRPr="003E54A5">
        <w:rPr>
          <w:rFonts w:cstheme="minorHAnsi"/>
          <w:sz w:val="24"/>
          <w:szCs w:val="24"/>
          <w:shd w:val="clear" w:color="auto" w:fill="FFFFFF"/>
        </w:rPr>
        <w:t>Construction documents are intended to demonstrate the project’s capability and capacity for facilitating future EV charging.</w:t>
      </w:r>
    </w:p>
    <w:p w14:paraId="04DE50E0" w14:textId="77777777" w:rsidR="007449C6" w:rsidRPr="003E54A5" w:rsidRDefault="007449C6" w:rsidP="00AE7B84">
      <w:pPr>
        <w:pStyle w:val="ListParagraph"/>
        <w:numPr>
          <w:ilvl w:val="1"/>
          <w:numId w:val="6"/>
        </w:numPr>
        <w:autoSpaceDE w:val="0"/>
        <w:autoSpaceDN w:val="0"/>
        <w:adjustRightInd w:val="0"/>
        <w:spacing w:before="100" w:beforeAutospacing="1"/>
        <w:ind w:left="1440"/>
        <w:contextualSpacing/>
        <w:rPr>
          <w:rFonts w:cstheme="minorHAnsi"/>
          <w:sz w:val="24"/>
          <w:szCs w:val="24"/>
          <w:shd w:val="clear" w:color="auto" w:fill="FFFFFF"/>
        </w:rPr>
      </w:pPr>
      <w:r w:rsidRPr="003E54A5">
        <w:rPr>
          <w:rFonts w:cstheme="minorHAnsi"/>
          <w:sz w:val="24"/>
          <w:szCs w:val="24"/>
          <w:shd w:val="clear" w:color="auto" w:fill="FFFFFF"/>
        </w:rPr>
        <w:t>There is no requirement for EV spaces to be constructed or available until EV chargers are installed for use.</w:t>
      </w:r>
    </w:p>
    <w:p w14:paraId="5FD143FE" w14:textId="77777777" w:rsidR="007449C6" w:rsidRPr="00124BE8" w:rsidRDefault="007449C6" w:rsidP="007449C6">
      <w:pPr>
        <w:textAlignment w:val="baseline"/>
        <w:rPr>
          <w:rFonts w:cstheme="minorHAnsi"/>
        </w:rPr>
      </w:pPr>
    </w:p>
    <w:p w14:paraId="7A2A3DF6" w14:textId="77777777" w:rsidR="007449C6" w:rsidRPr="00266CDC" w:rsidRDefault="007449C6" w:rsidP="007449C6">
      <w:pPr>
        <w:textAlignment w:val="baseline"/>
      </w:pPr>
      <w:r w:rsidRPr="00266CDC">
        <w:rPr>
          <w:b/>
          <w:bCs/>
          <w:szCs w:val="24"/>
        </w:rPr>
        <w:t xml:space="preserve">Appendix </w:t>
      </w:r>
      <w:r w:rsidRPr="00266CDC">
        <w:rPr>
          <w:rFonts w:cs="Arial"/>
          <w:b/>
          <w:bCs/>
        </w:rPr>
        <w:t xml:space="preserve">A4 Residential Voluntary Measures, </w:t>
      </w:r>
      <w:r w:rsidRPr="00266CDC">
        <w:rPr>
          <w:b/>
          <w:bCs/>
          <w:szCs w:val="24"/>
        </w:rPr>
        <w:t xml:space="preserve">Section A4.106.8 Electric vehicle (EV) charging for new construction </w:t>
      </w:r>
      <w:r w:rsidRPr="00266CDC">
        <w:rPr>
          <w:rFonts w:cs="Arial"/>
        </w:rPr>
        <w:t>is adopted as mandatory and amended to read as follows:</w:t>
      </w:r>
    </w:p>
    <w:p w14:paraId="0129B63D" w14:textId="32CA55D5" w:rsidR="007449C6" w:rsidRPr="00266CDC" w:rsidRDefault="007449C6" w:rsidP="008969FA">
      <w:pPr>
        <w:autoSpaceDE w:val="0"/>
        <w:autoSpaceDN w:val="0"/>
        <w:adjustRightInd w:val="0"/>
        <w:ind w:left="720"/>
        <w:rPr>
          <w:rFonts w:eastAsia="Calibri" w:cs="Arial"/>
          <w:color w:val="201F1E"/>
          <w:szCs w:val="24"/>
          <w:bdr w:val="none" w:sz="0" w:space="0" w:color="auto" w:frame="1"/>
        </w:rPr>
      </w:pPr>
      <w:r w:rsidRPr="00266CDC">
        <w:rPr>
          <w:rFonts w:eastAsia="Calibri" w:cs="Arial"/>
          <w:b/>
          <w:bCs/>
          <w:szCs w:val="24"/>
        </w:rPr>
        <w:t xml:space="preserve">A4.106.8 </w:t>
      </w:r>
      <w:r w:rsidRPr="00266CDC">
        <w:rPr>
          <w:rFonts w:eastAsia="Calibri" w:cs="Arial"/>
          <w:b/>
          <w:bCs/>
          <w:color w:val="201F1E"/>
          <w:szCs w:val="24"/>
          <w:bdr w:val="none" w:sz="0" w:space="0" w:color="auto" w:frame="1"/>
        </w:rPr>
        <w:t xml:space="preserve">Electric vehicle (EV) charging for new construction. </w:t>
      </w:r>
      <w:r w:rsidRPr="00266CDC">
        <w:rPr>
          <w:rFonts w:eastAsia="Calibri" w:cs="Arial"/>
          <w:color w:val="201F1E"/>
          <w:szCs w:val="24"/>
          <w:bdr w:val="none" w:sz="0" w:space="0" w:color="auto" w:frame="1"/>
        </w:rPr>
        <w:t>New construction shall comply with Sections A4.106.8.1</w:t>
      </w:r>
      <w:r w:rsidRPr="00266CDC">
        <w:rPr>
          <w:rFonts w:eastAsia="Calibri" w:cs="Arial"/>
          <w:strike/>
          <w:color w:val="201F1E"/>
          <w:szCs w:val="24"/>
          <w:bdr w:val="none" w:sz="0" w:space="0" w:color="auto" w:frame="1"/>
        </w:rPr>
        <w:t>,</w:t>
      </w:r>
      <w:r w:rsidRPr="00266CDC">
        <w:rPr>
          <w:rFonts w:eastAsia="Calibri" w:cs="Arial"/>
          <w:color w:val="201F1E"/>
          <w:szCs w:val="24"/>
          <w:bdr w:val="none" w:sz="0" w:space="0" w:color="auto" w:frame="1"/>
        </w:rPr>
        <w:t xml:space="preserve"> </w:t>
      </w:r>
      <w:r w:rsidRPr="00266CDC">
        <w:rPr>
          <w:rFonts w:eastAsia="Calibri" w:cs="Arial"/>
          <w:color w:val="201F1E"/>
          <w:szCs w:val="24"/>
          <w:u w:val="single"/>
          <w:bdr w:val="none" w:sz="0" w:space="0" w:color="auto" w:frame="1"/>
        </w:rPr>
        <w:t>or</w:t>
      </w:r>
      <w:r w:rsidRPr="00266CDC">
        <w:rPr>
          <w:rFonts w:eastAsia="Calibri" w:cs="Arial"/>
          <w:color w:val="201F1E"/>
          <w:szCs w:val="24"/>
          <w:bdr w:val="none" w:sz="0" w:space="0" w:color="auto" w:frame="1"/>
        </w:rPr>
        <w:t xml:space="preserve"> A4.106.8.2 </w:t>
      </w:r>
      <w:r w:rsidRPr="00266CDC">
        <w:rPr>
          <w:rFonts w:eastAsia="Calibri" w:cs="Arial"/>
          <w:strike/>
          <w:color w:val="201F1E"/>
          <w:szCs w:val="24"/>
          <w:bdr w:val="none" w:sz="0" w:space="0" w:color="auto" w:frame="1"/>
        </w:rPr>
        <w:t>or A4.106.8.3</w:t>
      </w:r>
      <w:r w:rsidRPr="00266CDC">
        <w:rPr>
          <w:rFonts w:eastAsia="Calibri" w:cs="Arial"/>
          <w:color w:val="201F1E"/>
          <w:szCs w:val="24"/>
          <w:bdr w:val="none" w:sz="0" w:space="0" w:color="auto" w:frame="1"/>
        </w:rPr>
        <w:t xml:space="preserve">, to facilitate </w:t>
      </w:r>
      <w:r w:rsidRPr="00266CDC">
        <w:rPr>
          <w:rFonts w:eastAsia="Calibri" w:cs="Arial"/>
          <w:strike/>
          <w:color w:val="201F1E"/>
          <w:szCs w:val="24"/>
          <w:bdr w:val="none" w:sz="0" w:space="0" w:color="auto" w:frame="1"/>
        </w:rPr>
        <w:t>future</w:t>
      </w:r>
      <w:r w:rsidRPr="00266CDC">
        <w:rPr>
          <w:rFonts w:eastAsia="Calibri" w:cs="Arial"/>
          <w:color w:val="201F1E"/>
          <w:szCs w:val="24"/>
          <w:bdr w:val="none" w:sz="0" w:space="0" w:color="auto" w:frame="1"/>
        </w:rPr>
        <w:t xml:space="preserve"> </w:t>
      </w:r>
      <w:r w:rsidRPr="00266CDC">
        <w:rPr>
          <w:rFonts w:eastAsia="Calibri" w:cs="Arial"/>
          <w:color w:val="201F1E"/>
          <w:szCs w:val="24"/>
          <w:u w:val="single"/>
          <w:bdr w:val="none" w:sz="0" w:space="0" w:color="auto" w:frame="1"/>
        </w:rPr>
        <w:t>the</w:t>
      </w:r>
      <w:r w:rsidRPr="00266CDC">
        <w:rPr>
          <w:rFonts w:eastAsia="Calibri" w:cs="Arial"/>
          <w:color w:val="201F1E"/>
          <w:szCs w:val="24"/>
          <w:bdr w:val="none" w:sz="0" w:space="0" w:color="auto" w:frame="1"/>
        </w:rPr>
        <w:t xml:space="preserve"> installation and use of</w:t>
      </w:r>
      <w:r w:rsidRPr="00266CDC">
        <w:rPr>
          <w:rFonts w:eastAsia="Calibri" w:cs="Arial"/>
          <w:strike/>
          <w:color w:val="201F1E"/>
          <w:szCs w:val="24"/>
          <w:bdr w:val="none" w:sz="0" w:space="0" w:color="auto" w:frame="1"/>
        </w:rPr>
        <w:t xml:space="preserve"> electric vehicle chargers</w:t>
      </w:r>
      <w:r w:rsidRPr="00266CDC">
        <w:rPr>
          <w:rFonts w:eastAsia="Calibri" w:cs="Arial"/>
          <w:color w:val="201F1E"/>
          <w:szCs w:val="24"/>
          <w:bdr w:val="none" w:sz="0" w:space="0" w:color="auto" w:frame="1"/>
        </w:rPr>
        <w:t xml:space="preserve"> </w:t>
      </w:r>
      <w:r w:rsidRPr="00266CDC">
        <w:rPr>
          <w:rFonts w:eastAsia="Calibri" w:cs="Arial"/>
          <w:color w:val="201F1E"/>
          <w:szCs w:val="24"/>
          <w:u w:val="single"/>
          <w:bdr w:val="none" w:sz="0" w:space="0" w:color="auto" w:frame="1"/>
        </w:rPr>
        <w:t>EV ready spaces</w:t>
      </w:r>
      <w:r w:rsidRPr="00266CDC">
        <w:rPr>
          <w:rFonts w:eastAsia="Calibri" w:cs="Arial"/>
          <w:color w:val="201F1E"/>
          <w:szCs w:val="24"/>
          <w:bdr w:val="none" w:sz="0" w:space="0" w:color="auto" w:frame="1"/>
        </w:rPr>
        <w:t xml:space="preserve">. Electric vehicle supply equipment (EVSE) shall </w:t>
      </w:r>
      <w:r w:rsidRPr="00266CDC">
        <w:rPr>
          <w:rFonts w:eastAsia="Calibri" w:cs="Arial"/>
          <w:color w:val="201F1E"/>
          <w:szCs w:val="24"/>
          <w:u w:val="single"/>
          <w:bdr w:val="none" w:sz="0" w:space="0" w:color="auto" w:frame="1"/>
        </w:rPr>
        <w:t>comply</w:t>
      </w:r>
      <w:r w:rsidRPr="00266CDC">
        <w:rPr>
          <w:rFonts w:eastAsia="Calibri" w:cs="Arial"/>
          <w:color w:val="201F1E"/>
          <w:szCs w:val="24"/>
          <w:bdr w:val="none" w:sz="0" w:space="0" w:color="auto" w:frame="1"/>
        </w:rPr>
        <w:t xml:space="preserve"> </w:t>
      </w:r>
      <w:r w:rsidRPr="00266CDC">
        <w:rPr>
          <w:rFonts w:eastAsia="Calibri" w:cs="Arial"/>
          <w:strike/>
          <w:color w:val="201F1E"/>
          <w:szCs w:val="24"/>
          <w:bdr w:val="none" w:sz="0" w:space="0" w:color="auto" w:frame="1"/>
        </w:rPr>
        <w:t>be installed in accordance</w:t>
      </w:r>
      <w:r w:rsidRPr="00266CDC">
        <w:rPr>
          <w:rFonts w:eastAsia="Calibri" w:cs="Arial"/>
          <w:color w:val="201F1E"/>
          <w:szCs w:val="24"/>
          <w:bdr w:val="none" w:sz="0" w:space="0" w:color="auto" w:frame="1"/>
        </w:rPr>
        <w:t xml:space="preserve"> with the </w:t>
      </w:r>
      <w:r w:rsidRPr="00266CDC">
        <w:rPr>
          <w:rFonts w:eastAsia="Calibri" w:cs="Arial"/>
          <w:i/>
          <w:iCs/>
          <w:color w:val="201F1E"/>
          <w:szCs w:val="24"/>
          <w:bdr w:val="none" w:sz="0" w:space="0" w:color="auto" w:frame="1"/>
        </w:rPr>
        <w:t>California Electrical Code</w:t>
      </w:r>
      <w:r w:rsidRPr="00266CDC">
        <w:rPr>
          <w:rFonts w:eastAsia="Calibri" w:cs="Arial"/>
          <w:strike/>
          <w:color w:val="201F1E"/>
          <w:szCs w:val="24"/>
          <w:bdr w:val="none" w:sz="0" w:space="0" w:color="auto" w:frame="1"/>
        </w:rPr>
        <w:t>, Article 625</w:t>
      </w:r>
      <w:r w:rsidRPr="00266CDC">
        <w:rPr>
          <w:rFonts w:eastAsia="Calibri" w:cs="Arial"/>
          <w:color w:val="201F1E"/>
          <w:szCs w:val="24"/>
          <w:bdr w:val="none" w:sz="0" w:space="0" w:color="auto" w:frame="1"/>
        </w:rPr>
        <w:t>.</w:t>
      </w:r>
    </w:p>
    <w:p w14:paraId="384100A7" w14:textId="0141CEB8" w:rsidR="007449C6" w:rsidRDefault="007449C6" w:rsidP="007449C6">
      <w:pPr>
        <w:pStyle w:val="NormalWeb"/>
      </w:pPr>
      <w:r w:rsidRPr="00266CDC">
        <w:rPr>
          <w:b/>
          <w:bCs/>
        </w:rPr>
        <w:t>Appendix A4 Residential Voluntary Measures, Section A4.106.8.2</w:t>
      </w:r>
      <w:r w:rsidRPr="00266CDC">
        <w:rPr>
          <w:rFonts w:eastAsia="Calibri" w:cs="Arial"/>
          <w:b/>
          <w:bCs/>
        </w:rPr>
        <w:t xml:space="preserve"> </w:t>
      </w:r>
      <w:r w:rsidRPr="00266CDC">
        <w:rPr>
          <w:rFonts w:cs="Arial"/>
          <w:b/>
          <w:bCs/>
          <w:color w:val="201F1E"/>
          <w:bdr w:val="none" w:sz="0" w:space="0" w:color="auto" w:frame="1"/>
        </w:rPr>
        <w:t>New multifamily development projects and hotels and motels, Tier 1</w:t>
      </w:r>
      <w:r w:rsidR="001D14ED" w:rsidRPr="00266CDC">
        <w:rPr>
          <w:rStyle w:val="FootnoteReference"/>
          <w:rFonts w:cs="Arial"/>
          <w:color w:val="201F1E"/>
          <w:bdr w:val="none" w:sz="0" w:space="0" w:color="auto" w:frame="1"/>
        </w:rPr>
        <w:footnoteReference w:id="5"/>
      </w:r>
      <w:r w:rsidRPr="00266CDC">
        <w:rPr>
          <w:b/>
          <w:bCs/>
        </w:rPr>
        <w:t xml:space="preserve"> </w:t>
      </w:r>
      <w:r w:rsidRPr="00266CDC">
        <w:t>is adopted as mandatory and amended to read as follows:</w:t>
      </w:r>
    </w:p>
    <w:p w14:paraId="30C2CCE1" w14:textId="77777777" w:rsidR="007449C6" w:rsidRPr="000B7356" w:rsidRDefault="007449C6" w:rsidP="007449C6">
      <w:pPr>
        <w:shd w:val="clear" w:color="auto" w:fill="FFFFFF"/>
        <w:ind w:left="720"/>
        <w:rPr>
          <w:rFonts w:eastAsia="Calibri" w:cs="Arial"/>
          <w:b/>
          <w:bCs/>
          <w:szCs w:val="24"/>
        </w:rPr>
      </w:pPr>
      <w:r w:rsidRPr="000B7356">
        <w:rPr>
          <w:rFonts w:eastAsia="Calibri" w:cs="Arial"/>
          <w:b/>
          <w:bCs/>
          <w:szCs w:val="24"/>
        </w:rPr>
        <w:t xml:space="preserve">A4.106.8.2 </w:t>
      </w:r>
      <w:r w:rsidRPr="000B7356">
        <w:rPr>
          <w:rFonts w:cs="Arial"/>
          <w:b/>
          <w:bCs/>
          <w:color w:val="201F1E"/>
          <w:szCs w:val="24"/>
          <w:bdr w:val="none" w:sz="0" w:space="0" w:color="auto" w:frame="1"/>
        </w:rPr>
        <w:t xml:space="preserve">New multifamily </w:t>
      </w:r>
      <w:r w:rsidRPr="000B7356">
        <w:rPr>
          <w:rFonts w:cs="Arial"/>
          <w:b/>
          <w:bCs/>
          <w:strike/>
          <w:color w:val="201F1E"/>
          <w:szCs w:val="24"/>
          <w:bdr w:val="none" w:sz="0" w:space="0" w:color="auto" w:frame="1"/>
        </w:rPr>
        <w:t>development projects and</w:t>
      </w:r>
      <w:r w:rsidRPr="000B7356">
        <w:rPr>
          <w:rFonts w:cs="Arial"/>
          <w:b/>
          <w:bCs/>
          <w:color w:val="201F1E"/>
          <w:szCs w:val="24"/>
          <w:bdr w:val="none" w:sz="0" w:space="0" w:color="auto" w:frame="1"/>
        </w:rPr>
        <w:t xml:space="preserve"> </w:t>
      </w:r>
      <w:r w:rsidRPr="000B7356">
        <w:rPr>
          <w:rFonts w:cs="Arial"/>
          <w:b/>
          <w:bCs/>
          <w:color w:val="201F1E"/>
          <w:szCs w:val="24"/>
          <w:u w:val="single"/>
          <w:bdr w:val="none" w:sz="0" w:space="0" w:color="auto" w:frame="1"/>
        </w:rPr>
        <w:t>dwellings,</w:t>
      </w:r>
      <w:r w:rsidRPr="000B7356">
        <w:rPr>
          <w:rFonts w:cs="Arial"/>
          <w:b/>
          <w:bCs/>
          <w:color w:val="201F1E"/>
          <w:szCs w:val="24"/>
          <w:bdr w:val="none" w:sz="0" w:space="0" w:color="auto" w:frame="1"/>
        </w:rPr>
        <w:t xml:space="preserve"> hotels and motels. </w:t>
      </w:r>
      <w:r w:rsidRPr="000B7356">
        <w:rPr>
          <w:rFonts w:cs="Arial"/>
          <w:color w:val="201F1E"/>
          <w:szCs w:val="24"/>
          <w:bdr w:val="none" w:sz="0" w:space="0" w:color="auto" w:frame="1"/>
        </w:rPr>
        <w:t xml:space="preserve">New multifamily </w:t>
      </w:r>
      <w:r w:rsidRPr="000B7356">
        <w:rPr>
          <w:rFonts w:cs="Arial"/>
          <w:strike/>
          <w:color w:val="201F1E"/>
          <w:szCs w:val="24"/>
          <w:bdr w:val="none" w:sz="0" w:space="0" w:color="auto" w:frame="1"/>
        </w:rPr>
        <w:t>development projects and</w:t>
      </w:r>
      <w:r w:rsidRPr="000B7356">
        <w:rPr>
          <w:rFonts w:cs="Arial"/>
          <w:color w:val="201F1E"/>
          <w:szCs w:val="24"/>
          <w:bdr w:val="none" w:sz="0" w:space="0" w:color="auto" w:frame="1"/>
        </w:rPr>
        <w:t xml:space="preserve"> </w:t>
      </w:r>
      <w:r w:rsidRPr="000B7356">
        <w:rPr>
          <w:rFonts w:cs="Arial"/>
          <w:color w:val="201F1E"/>
          <w:szCs w:val="24"/>
          <w:u w:val="single"/>
          <w:bdr w:val="none" w:sz="0" w:space="0" w:color="auto" w:frame="1"/>
        </w:rPr>
        <w:t>dwellings,</w:t>
      </w:r>
      <w:r w:rsidRPr="000B7356">
        <w:rPr>
          <w:rFonts w:cs="Arial"/>
          <w:color w:val="201F1E"/>
          <w:szCs w:val="24"/>
          <w:bdr w:val="none" w:sz="0" w:space="0" w:color="auto" w:frame="1"/>
        </w:rPr>
        <w:t xml:space="preserve"> hotels and motels shall meet the following requirements.</w:t>
      </w:r>
    </w:p>
    <w:p w14:paraId="3C3A9A3F" w14:textId="77777777" w:rsidR="007449C6" w:rsidRPr="00B20614" w:rsidRDefault="007449C6" w:rsidP="007449C6">
      <w:pPr>
        <w:shd w:val="clear" w:color="auto" w:fill="FFFFFF"/>
        <w:ind w:left="720"/>
        <w:rPr>
          <w:rFonts w:eastAsia="Calibri" w:cs="Arial"/>
          <w:b/>
          <w:bCs/>
          <w:szCs w:val="24"/>
        </w:rPr>
      </w:pPr>
      <w:r w:rsidRPr="00B20614">
        <w:rPr>
          <w:rFonts w:eastAsia="Calibri" w:cs="Arial"/>
          <w:b/>
          <w:bCs/>
          <w:szCs w:val="24"/>
        </w:rPr>
        <w:t>A4.106.8.2.1 New multifamily development projects, and, hotels and motels.</w:t>
      </w:r>
    </w:p>
    <w:p w14:paraId="2F3C39CE" w14:textId="77777777" w:rsidR="007449C6" w:rsidRPr="00746BF8" w:rsidRDefault="007449C6" w:rsidP="007449C6">
      <w:pPr>
        <w:autoSpaceDE w:val="0"/>
        <w:autoSpaceDN w:val="0"/>
        <w:adjustRightInd w:val="0"/>
        <w:ind w:left="720"/>
        <w:rPr>
          <w:rFonts w:cs="Arial"/>
          <w:b/>
          <w:szCs w:val="24"/>
        </w:rPr>
      </w:pPr>
      <w:r w:rsidRPr="00746BF8">
        <w:rPr>
          <w:rFonts w:cs="Arial"/>
          <w:b/>
          <w:szCs w:val="24"/>
        </w:rPr>
        <w:t>Tier 1.</w:t>
      </w:r>
    </w:p>
    <w:p w14:paraId="34826249" w14:textId="77777777" w:rsidR="007449C6" w:rsidRPr="00541709" w:rsidRDefault="007449C6" w:rsidP="007449C6">
      <w:pPr>
        <w:autoSpaceDE w:val="0"/>
        <w:autoSpaceDN w:val="0"/>
        <w:adjustRightInd w:val="0"/>
        <w:ind w:left="1080"/>
        <w:rPr>
          <w:rFonts w:cs="Arial"/>
          <w:bCs/>
          <w:strike/>
          <w:szCs w:val="24"/>
        </w:rPr>
      </w:pPr>
      <w:r w:rsidRPr="00541709">
        <w:rPr>
          <w:rFonts w:cs="Arial"/>
          <w:b/>
          <w:strike/>
          <w:szCs w:val="24"/>
        </w:rPr>
        <w:t>EV Ready.</w:t>
      </w:r>
      <w:r w:rsidRPr="00541709">
        <w:rPr>
          <w:rFonts w:cs="Arial"/>
          <w:bCs/>
          <w:strike/>
          <w:szCs w:val="24"/>
        </w:rPr>
        <w:t xml:space="preserve"> Thirty-five (35) percent of the total number of parking spaces shall be equipped with low power Level 2 EV charging receptacles. For multifamily parking facilities, no more than one receptacle is required per dwelling unit when more than one parking space is provided for use by a single dwelling unit.</w:t>
      </w:r>
    </w:p>
    <w:p w14:paraId="09016B2E" w14:textId="77777777" w:rsidR="007449C6" w:rsidRPr="00541709" w:rsidRDefault="007449C6" w:rsidP="007449C6">
      <w:pPr>
        <w:autoSpaceDE w:val="0"/>
        <w:autoSpaceDN w:val="0"/>
        <w:adjustRightInd w:val="0"/>
        <w:ind w:left="1440"/>
        <w:rPr>
          <w:rFonts w:cs="Arial"/>
          <w:bCs/>
          <w:strike/>
          <w:szCs w:val="24"/>
        </w:rPr>
      </w:pPr>
      <w:r w:rsidRPr="00541709">
        <w:rPr>
          <w:rFonts w:cs="Arial"/>
          <w:b/>
          <w:strike/>
          <w:szCs w:val="24"/>
        </w:rPr>
        <w:t>Exception:</w:t>
      </w:r>
      <w:r w:rsidRPr="00541709">
        <w:rPr>
          <w:rFonts w:cs="Arial"/>
          <w:bCs/>
          <w:strike/>
          <w:szCs w:val="24"/>
        </w:rPr>
        <w:t xml:space="preserve"> Areas of parking facilities served by parking lifts.</w:t>
      </w:r>
    </w:p>
    <w:p w14:paraId="16798354" w14:textId="77777777" w:rsidR="007449C6" w:rsidRDefault="007449C6" w:rsidP="007449C6">
      <w:pPr>
        <w:autoSpaceDE w:val="0"/>
        <w:autoSpaceDN w:val="0"/>
        <w:adjustRightInd w:val="0"/>
        <w:ind w:left="1080"/>
        <w:rPr>
          <w:rFonts w:cs="Arial"/>
          <w:bCs/>
          <w:strike/>
          <w:szCs w:val="24"/>
        </w:rPr>
      </w:pPr>
      <w:r w:rsidRPr="005C182E">
        <w:rPr>
          <w:rFonts w:cs="Arial"/>
          <w:b/>
          <w:strike/>
          <w:szCs w:val="24"/>
        </w:rPr>
        <w:t>EV Chargers for projects with 20 or more dwelling units, sleeping units or guest rooms.</w:t>
      </w:r>
      <w:r w:rsidRPr="00541709">
        <w:rPr>
          <w:rFonts w:cs="Arial"/>
          <w:bCs/>
          <w:strike/>
          <w:szCs w:val="24"/>
        </w:rPr>
        <w:t xml:space="preserve"> Ten (10) percent of the total number of parking spaces shall be equipped with Level 2 EVSE. Where common use parking is provided, at least one EV charger shall be located in the common use parking area and shall be available for use by all residents or guests.</w:t>
      </w:r>
    </w:p>
    <w:p w14:paraId="30A507B8" w14:textId="77777777" w:rsidR="0056223B" w:rsidRPr="00C677BD" w:rsidRDefault="0056223B" w:rsidP="007449C6">
      <w:pPr>
        <w:autoSpaceDE w:val="0"/>
        <w:autoSpaceDN w:val="0"/>
        <w:adjustRightInd w:val="0"/>
        <w:ind w:left="1080"/>
        <w:rPr>
          <w:rFonts w:cstheme="minorHAnsi"/>
          <w:bCs/>
          <w:strike/>
          <w:szCs w:val="24"/>
        </w:rPr>
      </w:pPr>
    </w:p>
    <w:p w14:paraId="4EAFE928" w14:textId="77777777" w:rsidR="007449C6" w:rsidRPr="00C677BD" w:rsidRDefault="007449C6" w:rsidP="007449C6">
      <w:pPr>
        <w:pStyle w:val="ListParagraph"/>
        <w:widowControl w:val="0"/>
        <w:ind w:left="1080"/>
        <w:rPr>
          <w:rFonts w:cstheme="minorHAnsi"/>
          <w:b/>
          <w:sz w:val="24"/>
          <w:szCs w:val="24"/>
          <w:u w:val="single"/>
        </w:rPr>
      </w:pPr>
      <w:r w:rsidRPr="00C677BD">
        <w:rPr>
          <w:rFonts w:eastAsia="Calibri" w:cstheme="minorHAnsi"/>
          <w:b/>
          <w:bCs/>
          <w:sz w:val="24"/>
          <w:szCs w:val="24"/>
          <w:u w:val="single"/>
        </w:rPr>
        <w:t xml:space="preserve">1. </w:t>
      </w:r>
      <w:r w:rsidRPr="00C677BD">
        <w:rPr>
          <w:rFonts w:cstheme="minorHAnsi"/>
          <w:b/>
          <w:sz w:val="24"/>
          <w:szCs w:val="24"/>
          <w:u w:val="single"/>
        </w:rPr>
        <w:t>Hotels and Motels</w:t>
      </w:r>
    </w:p>
    <w:p w14:paraId="4D9093D9" w14:textId="77777777" w:rsidR="007449C6" w:rsidRPr="00C677BD" w:rsidRDefault="007449C6" w:rsidP="0056223B">
      <w:pPr>
        <w:pStyle w:val="ListParagraph"/>
        <w:widowControl w:val="0"/>
        <w:ind w:left="1080" w:firstLine="0"/>
        <w:rPr>
          <w:rFonts w:cstheme="minorHAnsi"/>
          <w:bCs/>
          <w:sz w:val="24"/>
          <w:szCs w:val="24"/>
          <w:u w:val="single"/>
        </w:rPr>
      </w:pPr>
      <w:r w:rsidRPr="00C677BD">
        <w:rPr>
          <w:rFonts w:cstheme="minorHAnsi"/>
          <w:bCs/>
          <w:sz w:val="24"/>
          <w:szCs w:val="24"/>
          <w:u w:val="single"/>
        </w:rPr>
        <w:t>Fifty (50) percent of the total number of parking spaces shall be equipped with low power Level 2 EV charging receptacles.</w:t>
      </w:r>
    </w:p>
    <w:p w14:paraId="42C0DEA8" w14:textId="77777777" w:rsidR="0056223B" w:rsidRPr="00C677BD" w:rsidRDefault="0056223B" w:rsidP="0056223B">
      <w:pPr>
        <w:pStyle w:val="ListParagraph"/>
        <w:widowControl w:val="0"/>
        <w:ind w:left="1080" w:firstLine="0"/>
        <w:rPr>
          <w:rFonts w:eastAsia="Calibri" w:cstheme="minorHAnsi"/>
          <w:sz w:val="24"/>
          <w:szCs w:val="24"/>
          <w:u w:val="single"/>
        </w:rPr>
      </w:pPr>
    </w:p>
    <w:p w14:paraId="3E84D063" w14:textId="77777777" w:rsidR="007449C6" w:rsidRPr="00C677BD" w:rsidRDefault="007449C6" w:rsidP="0056223B">
      <w:pPr>
        <w:pStyle w:val="ListParagraph"/>
        <w:widowControl w:val="0"/>
        <w:ind w:left="1080" w:firstLine="0"/>
        <w:rPr>
          <w:rFonts w:eastAsia="Calibri" w:cstheme="minorHAnsi"/>
          <w:sz w:val="24"/>
          <w:szCs w:val="24"/>
          <w:u w:val="single"/>
        </w:rPr>
      </w:pPr>
      <w:r w:rsidRPr="00C677BD">
        <w:rPr>
          <w:rFonts w:cstheme="minorHAnsi"/>
          <w:bCs/>
          <w:sz w:val="24"/>
          <w:szCs w:val="24"/>
          <w:u w:val="single"/>
        </w:rPr>
        <w:t xml:space="preserve">Fifteen (15) percent of the total number of parking spaces for hotels and motels shall be equipped with Level 2 EV chargers. </w:t>
      </w:r>
      <w:bookmarkStart w:id="2" w:name="_Hlk113022674"/>
      <w:r w:rsidRPr="00C677BD">
        <w:rPr>
          <w:rFonts w:eastAsia="Calibri" w:cstheme="minorHAnsi"/>
          <w:sz w:val="24"/>
          <w:szCs w:val="24"/>
          <w:u w:val="single"/>
        </w:rPr>
        <w:t>At least fifty (50) percent of the required EV chargers shall be equipped with J1772 connectors.</w:t>
      </w:r>
      <w:bookmarkEnd w:id="2"/>
    </w:p>
    <w:p w14:paraId="1FD5053D" w14:textId="77777777" w:rsidR="0056223B" w:rsidRPr="00C677BD" w:rsidRDefault="0056223B" w:rsidP="0056223B">
      <w:pPr>
        <w:pStyle w:val="ListParagraph"/>
        <w:widowControl w:val="0"/>
        <w:ind w:left="1080" w:firstLine="0"/>
        <w:rPr>
          <w:rFonts w:eastAsia="Calibri" w:cstheme="minorHAnsi"/>
          <w:sz w:val="24"/>
          <w:szCs w:val="24"/>
          <w:u w:val="single"/>
        </w:rPr>
      </w:pPr>
    </w:p>
    <w:p w14:paraId="083B36AB" w14:textId="77777777" w:rsidR="007449C6" w:rsidRPr="00C677BD" w:rsidRDefault="007449C6" w:rsidP="0056223B">
      <w:pPr>
        <w:pStyle w:val="ListParagraph"/>
        <w:widowControl w:val="0"/>
        <w:autoSpaceDE w:val="0"/>
        <w:autoSpaceDN w:val="0"/>
        <w:adjustRightInd w:val="0"/>
        <w:ind w:left="1440" w:firstLine="0"/>
        <w:rPr>
          <w:rFonts w:cstheme="minorHAnsi"/>
          <w:b/>
          <w:sz w:val="24"/>
          <w:szCs w:val="24"/>
          <w:u w:val="single"/>
        </w:rPr>
      </w:pPr>
      <w:r w:rsidRPr="00C677BD">
        <w:rPr>
          <w:rFonts w:cstheme="minorHAnsi"/>
          <w:b/>
          <w:sz w:val="24"/>
          <w:szCs w:val="24"/>
          <w:u w:val="single"/>
        </w:rPr>
        <w:t xml:space="preserve">Exception: </w:t>
      </w:r>
      <w:r w:rsidRPr="00C677BD">
        <w:rPr>
          <w:rFonts w:eastAsia="Calibri" w:cstheme="minorHAnsi"/>
          <w:sz w:val="24"/>
          <w:szCs w:val="24"/>
          <w:u w:val="single"/>
        </w:rPr>
        <w:t xml:space="preserve">Hotels and motels may substitute Level 2 EV </w:t>
      </w:r>
      <w:r w:rsidRPr="00C677BD">
        <w:rPr>
          <w:rFonts w:cstheme="minorHAnsi"/>
          <w:bCs/>
          <w:sz w:val="24"/>
          <w:szCs w:val="24"/>
          <w:u w:val="single"/>
        </w:rPr>
        <w:t xml:space="preserve">chargers for some or all of the required EV charging receptacles. Where Level 2 EV chargers are installed in place of low power Level 2 receptacles, </w:t>
      </w:r>
      <w:r w:rsidRPr="00C677BD">
        <w:rPr>
          <w:rFonts w:eastAsia="Calibri" w:cstheme="minorHAnsi"/>
          <w:sz w:val="24"/>
          <w:szCs w:val="24"/>
          <w:u w:val="single"/>
        </w:rPr>
        <w:t>at least fifty (50) percent of the installed EV chargers shall be equipped with J1772 connectors.</w:t>
      </w:r>
      <w:r w:rsidRPr="00C677BD">
        <w:rPr>
          <w:rFonts w:cstheme="minorHAnsi"/>
          <w:b/>
          <w:sz w:val="24"/>
          <w:szCs w:val="24"/>
          <w:u w:val="single"/>
        </w:rPr>
        <w:t xml:space="preserve"> </w:t>
      </w:r>
    </w:p>
    <w:p w14:paraId="7288F170" w14:textId="77777777" w:rsidR="0056223B" w:rsidRPr="00C677BD" w:rsidRDefault="0056223B" w:rsidP="0056223B">
      <w:pPr>
        <w:pStyle w:val="ListParagraph"/>
        <w:widowControl w:val="0"/>
        <w:autoSpaceDE w:val="0"/>
        <w:autoSpaceDN w:val="0"/>
        <w:adjustRightInd w:val="0"/>
        <w:ind w:left="1440" w:firstLine="0"/>
        <w:rPr>
          <w:rFonts w:eastAsia="Calibri" w:cstheme="minorHAnsi"/>
          <w:sz w:val="24"/>
          <w:szCs w:val="24"/>
          <w:u w:val="single"/>
        </w:rPr>
      </w:pPr>
    </w:p>
    <w:p w14:paraId="62ACE349" w14:textId="77777777" w:rsidR="007449C6" w:rsidRPr="00C677BD" w:rsidRDefault="007449C6" w:rsidP="007449C6">
      <w:pPr>
        <w:pStyle w:val="ListParagraph"/>
        <w:widowControl w:val="0"/>
        <w:ind w:left="1080"/>
        <w:rPr>
          <w:rFonts w:cstheme="minorHAnsi"/>
          <w:b/>
          <w:sz w:val="24"/>
          <w:szCs w:val="24"/>
          <w:u w:val="single"/>
        </w:rPr>
      </w:pPr>
      <w:r w:rsidRPr="00C677BD">
        <w:rPr>
          <w:rFonts w:eastAsia="Calibri" w:cstheme="minorHAnsi"/>
          <w:b/>
          <w:bCs/>
          <w:sz w:val="24"/>
          <w:szCs w:val="24"/>
          <w:u w:val="single"/>
        </w:rPr>
        <w:t xml:space="preserve">2. </w:t>
      </w:r>
      <w:r w:rsidRPr="00C677BD">
        <w:rPr>
          <w:rFonts w:cstheme="minorHAnsi"/>
          <w:b/>
          <w:sz w:val="24"/>
          <w:szCs w:val="24"/>
          <w:u w:val="single"/>
        </w:rPr>
        <w:t xml:space="preserve">Multifamily Parking Facilities </w:t>
      </w:r>
    </w:p>
    <w:p w14:paraId="1D9844F5" w14:textId="000D41A3" w:rsidR="007449C6" w:rsidRPr="00C677BD" w:rsidRDefault="007449C6" w:rsidP="002D6EAE">
      <w:pPr>
        <w:pStyle w:val="ListParagraph"/>
        <w:widowControl w:val="0"/>
        <w:ind w:left="1080" w:firstLine="0"/>
        <w:rPr>
          <w:rFonts w:eastAsia="Calibri" w:cstheme="minorHAnsi"/>
          <w:sz w:val="24"/>
          <w:szCs w:val="24"/>
          <w:u w:val="single"/>
        </w:rPr>
      </w:pPr>
      <w:r w:rsidRPr="00C677BD">
        <w:rPr>
          <w:rFonts w:eastAsia="Calibri" w:cstheme="minorHAnsi"/>
          <w:sz w:val="24"/>
          <w:szCs w:val="24"/>
          <w:u w:val="single"/>
        </w:rPr>
        <w:t>Fifty (50) percent of the total number of parking spaces shall be equipped with low power Level 2 EV charging receptacles. EV charging receptacles required by this section shall be located in at least one assigned parking space per dwelling unit where assigned parking is provided but need not exceed fifty (50) percent of the total number of parking spaces provided on the site.</w:t>
      </w:r>
      <w:r w:rsidR="008969FA" w:rsidRPr="00C677BD">
        <w:rPr>
          <w:rStyle w:val="FootnoteReference"/>
          <w:rFonts w:cstheme="minorHAnsi"/>
          <w:bCs/>
          <w:color w:val="00B0F0"/>
          <w:sz w:val="24"/>
          <w:szCs w:val="24"/>
          <w:u w:val="single"/>
        </w:rPr>
        <w:footnoteReference w:id="6"/>
      </w:r>
    </w:p>
    <w:p w14:paraId="78FFE048" w14:textId="77777777" w:rsidR="0056223B" w:rsidRPr="00C677BD" w:rsidRDefault="0056223B" w:rsidP="002D6EAE">
      <w:pPr>
        <w:pStyle w:val="ListParagraph"/>
        <w:widowControl w:val="0"/>
        <w:ind w:left="1080" w:firstLine="0"/>
        <w:rPr>
          <w:rFonts w:cstheme="minorHAnsi"/>
          <w:b/>
          <w:sz w:val="24"/>
          <w:szCs w:val="24"/>
          <w:u w:val="single"/>
        </w:rPr>
      </w:pPr>
    </w:p>
    <w:p w14:paraId="2DAE02B8" w14:textId="040B8B9B" w:rsidR="00071B82" w:rsidRPr="00C677BD" w:rsidRDefault="007449C6" w:rsidP="002D6EAE">
      <w:pPr>
        <w:pStyle w:val="ListParagraph"/>
        <w:widowControl w:val="0"/>
        <w:ind w:left="1080" w:firstLine="0"/>
        <w:rPr>
          <w:rFonts w:cstheme="minorHAnsi"/>
          <w:bCs/>
          <w:sz w:val="24"/>
          <w:szCs w:val="24"/>
          <w:u w:val="single"/>
        </w:rPr>
      </w:pPr>
      <w:bookmarkStart w:id="3" w:name="_Hlk113604337"/>
      <w:r w:rsidRPr="00C677BD">
        <w:rPr>
          <w:rFonts w:cstheme="minorHAnsi"/>
          <w:bCs/>
          <w:sz w:val="24"/>
          <w:szCs w:val="24"/>
          <w:u w:val="single"/>
        </w:rPr>
        <w:t xml:space="preserve">Fifteen (15) percent </w:t>
      </w:r>
      <w:r w:rsidRPr="00C677BD">
        <w:rPr>
          <w:rFonts w:eastAsia="Calibri" w:cstheme="minorHAnsi"/>
          <w:sz w:val="24"/>
          <w:szCs w:val="24"/>
          <w:u w:val="single"/>
        </w:rPr>
        <w:t xml:space="preserve">of the total number of parking spaces shall be equipped with Level 2 EV chargers. At least fifty (50) percent of the required EV chargers shall be equipped with J1772 connectors. </w:t>
      </w:r>
      <w:r w:rsidRPr="00C677BD">
        <w:rPr>
          <w:rFonts w:cstheme="minorHAnsi"/>
          <w:bCs/>
          <w:sz w:val="24"/>
          <w:szCs w:val="24"/>
          <w:u w:val="single"/>
        </w:rPr>
        <w:t>Where common use parking or unassigned parking is provided, EV chargers shall be located in common use or unassigned parking areas and shall be available for use by all residents or guests.</w:t>
      </w:r>
      <w:bookmarkEnd w:id="3"/>
    </w:p>
    <w:p w14:paraId="29D6CF69" w14:textId="77777777" w:rsidR="00071B82" w:rsidRPr="00C677BD" w:rsidRDefault="00071B82" w:rsidP="0056223B">
      <w:pPr>
        <w:pStyle w:val="ListParagraph"/>
        <w:widowControl w:val="0"/>
        <w:ind w:left="1440" w:firstLine="0"/>
        <w:rPr>
          <w:rFonts w:cstheme="minorHAnsi"/>
          <w:b/>
          <w:sz w:val="24"/>
          <w:szCs w:val="24"/>
        </w:rPr>
      </w:pPr>
    </w:p>
    <w:p w14:paraId="3778A4DC" w14:textId="77777777" w:rsidR="007449C6" w:rsidRPr="00C677BD" w:rsidRDefault="007449C6" w:rsidP="002D6EAE">
      <w:pPr>
        <w:autoSpaceDE w:val="0"/>
        <w:autoSpaceDN w:val="0"/>
        <w:adjustRightInd w:val="0"/>
        <w:ind w:left="720"/>
        <w:rPr>
          <w:rFonts w:cstheme="minorHAnsi"/>
          <w:b/>
          <w:szCs w:val="24"/>
          <w:u w:val="single"/>
        </w:rPr>
      </w:pPr>
      <w:r w:rsidRPr="00C677BD">
        <w:rPr>
          <w:rFonts w:cstheme="minorHAnsi"/>
          <w:b/>
          <w:szCs w:val="24"/>
          <w:u w:val="single"/>
        </w:rPr>
        <w:t xml:space="preserve">Exception to </w:t>
      </w:r>
      <w:r w:rsidRPr="00C677BD">
        <w:rPr>
          <w:rFonts w:cstheme="minorHAnsi"/>
          <w:b/>
          <w:bCs/>
          <w:szCs w:val="24"/>
          <w:u w:val="single"/>
        </w:rPr>
        <w:t>Section A4.106</w:t>
      </w:r>
      <w:r w:rsidRPr="00C677BD">
        <w:rPr>
          <w:rFonts w:cstheme="minorHAnsi"/>
          <w:b/>
          <w:bCs/>
          <w:u w:val="single"/>
        </w:rPr>
        <w:t>.8.2</w:t>
      </w:r>
      <w:r w:rsidRPr="00C677BD">
        <w:rPr>
          <w:rFonts w:cstheme="minorHAnsi"/>
          <w:b/>
          <w:szCs w:val="24"/>
          <w:u w:val="single"/>
        </w:rPr>
        <w:t xml:space="preserve">: </w:t>
      </w:r>
      <w:r w:rsidRPr="00C677BD">
        <w:rPr>
          <w:rFonts w:eastAsia="Calibri" w:cstheme="minorHAnsi"/>
          <w:szCs w:val="24"/>
          <w:u w:val="single"/>
        </w:rPr>
        <w:t>Areas of parking facilities served by parking lifts,</w:t>
      </w:r>
      <w:r w:rsidRPr="00C677BD">
        <w:rPr>
          <w:rFonts w:cstheme="minorHAnsi"/>
          <w:szCs w:val="24"/>
          <w:u w:val="single"/>
        </w:rPr>
        <w:t xml:space="preserve"> </w:t>
      </w:r>
      <w:r w:rsidRPr="00C677BD">
        <w:rPr>
          <w:rFonts w:eastAsia="Calibri" w:cstheme="minorHAnsi"/>
          <w:szCs w:val="24"/>
          <w:u w:val="single"/>
        </w:rPr>
        <w:t>including but not limited to automated mechanical-access open parking garages as defined in the California Building Code; or parking facilities otherwise incapable of supporting electric vehicle charging.</w:t>
      </w:r>
    </w:p>
    <w:p w14:paraId="2A596C35" w14:textId="77777777" w:rsidR="007449C6" w:rsidRPr="00266CDC" w:rsidRDefault="007449C6" w:rsidP="002D6EAE">
      <w:pPr>
        <w:autoSpaceDE w:val="0"/>
        <w:autoSpaceDN w:val="0"/>
        <w:adjustRightInd w:val="0"/>
        <w:ind w:left="720"/>
        <w:rPr>
          <w:b/>
          <w:szCs w:val="24"/>
          <w:u w:val="single"/>
        </w:rPr>
      </w:pPr>
    </w:p>
    <w:p w14:paraId="4398F064" w14:textId="77777777" w:rsidR="007449C6" w:rsidRPr="00266CDC" w:rsidRDefault="007449C6" w:rsidP="002D6EAE">
      <w:pPr>
        <w:autoSpaceDE w:val="0"/>
        <w:autoSpaceDN w:val="0"/>
        <w:adjustRightInd w:val="0"/>
        <w:ind w:left="720"/>
        <w:rPr>
          <w:bCs/>
          <w:szCs w:val="24"/>
          <w:u w:val="single"/>
        </w:rPr>
      </w:pPr>
      <w:r w:rsidRPr="00266CDC">
        <w:rPr>
          <w:b/>
          <w:szCs w:val="24"/>
          <w:u w:val="single"/>
        </w:rPr>
        <w:t>Note to Section A4.106.8.2:</w:t>
      </w:r>
      <w:r w:rsidRPr="00266CDC">
        <w:rPr>
          <w:bCs/>
          <w:szCs w:val="24"/>
          <w:u w:val="single"/>
        </w:rPr>
        <w:t xml:space="preserve"> An automatic load management system </w:t>
      </w:r>
      <w:r w:rsidRPr="00266CDC">
        <w:rPr>
          <w:szCs w:val="24"/>
          <w:u w:val="single"/>
          <w:bdr w:val="none" w:sz="0" w:space="0" w:color="auto" w:frame="1"/>
        </w:rPr>
        <w:t>(ALMS) may be used to reduce the maximum required electrical capacity to each space served by the ALMS. The electrical system and any on-site distribution transformers shall have sufficient capacity to deliver at least 3.3 kW simultaneously to each EV charging station (EVCS) served by the ALMS. The branch circuit shall have a minimum capacity of 40 amperes, and installed EV chargers shall have a capacity of not less than 30 amperes.</w:t>
      </w:r>
    </w:p>
    <w:p w14:paraId="5D4AFC93" w14:textId="77777777" w:rsidR="007449C6" w:rsidRPr="00266CDC" w:rsidRDefault="007449C6" w:rsidP="007449C6">
      <w:pPr>
        <w:autoSpaceDE w:val="0"/>
        <w:autoSpaceDN w:val="0"/>
        <w:adjustRightInd w:val="0"/>
        <w:ind w:left="360"/>
        <w:rPr>
          <w:rFonts w:cs="Arial"/>
          <w:szCs w:val="24"/>
          <w:shd w:val="clear" w:color="auto" w:fill="FFFFFF"/>
        </w:rPr>
      </w:pPr>
    </w:p>
    <w:p w14:paraId="20C881D9" w14:textId="77777777" w:rsidR="007449C6" w:rsidRPr="00266CDC" w:rsidRDefault="007449C6" w:rsidP="007449C6">
      <w:pPr>
        <w:textAlignment w:val="baseline"/>
      </w:pPr>
      <w:r w:rsidRPr="00266CDC">
        <w:rPr>
          <w:b/>
          <w:bCs/>
        </w:rPr>
        <w:t xml:space="preserve">Appendix A4 Residential Voluntary Measures, </w:t>
      </w:r>
      <w:r w:rsidRPr="00266CDC">
        <w:rPr>
          <w:rFonts w:cs="Arial"/>
          <w:b/>
          <w:bCs/>
          <w:szCs w:val="24"/>
          <w:shd w:val="clear" w:color="auto" w:fill="FFFFFF"/>
        </w:rPr>
        <w:t>Section A4.106.8.2.2</w:t>
      </w:r>
      <w:r w:rsidRPr="00266CDC">
        <w:rPr>
          <w:b/>
          <w:bCs/>
          <w:szCs w:val="24"/>
        </w:rPr>
        <w:t xml:space="preserve"> Technical Requirements </w:t>
      </w:r>
      <w:r w:rsidRPr="00266CDC">
        <w:rPr>
          <w:rFonts w:cs="Arial"/>
        </w:rPr>
        <w:t>is adopted as mandatory and amended to read as follows:</w:t>
      </w:r>
    </w:p>
    <w:p w14:paraId="472A31A1" w14:textId="77777777" w:rsidR="007449C6" w:rsidRPr="00266CDC" w:rsidRDefault="007449C6" w:rsidP="007449C6">
      <w:pPr>
        <w:textAlignment w:val="baseline"/>
        <w:rPr>
          <w:rFonts w:eastAsia="Calibri" w:cs="Arial"/>
          <w:b/>
          <w:bCs/>
          <w:szCs w:val="24"/>
        </w:rPr>
      </w:pPr>
    </w:p>
    <w:p w14:paraId="38BED87D" w14:textId="77777777" w:rsidR="007449C6" w:rsidRPr="00266CDC" w:rsidRDefault="007449C6" w:rsidP="007449C6">
      <w:pPr>
        <w:ind w:left="720"/>
        <w:textAlignment w:val="baseline"/>
        <w:rPr>
          <w:rFonts w:eastAsia="Calibri" w:cs="Arial"/>
          <w:szCs w:val="24"/>
        </w:rPr>
      </w:pPr>
      <w:r w:rsidRPr="00266CDC">
        <w:rPr>
          <w:rFonts w:eastAsia="Calibri" w:cs="Arial"/>
          <w:b/>
          <w:bCs/>
          <w:szCs w:val="24"/>
        </w:rPr>
        <w:t>A4.106.8.2.2 Technical requirements.</w:t>
      </w:r>
      <w:r w:rsidRPr="00266CDC">
        <w:rPr>
          <w:rFonts w:eastAsia="Calibri" w:cs="Arial"/>
          <w:szCs w:val="24"/>
        </w:rPr>
        <w:t xml:space="preserve"> The EV spaces required by Section A4.106.8.2 shall be designed and constructed in accordance with Sections 4.106.4.2, </w:t>
      </w:r>
      <w:r w:rsidRPr="00266CDC">
        <w:rPr>
          <w:rFonts w:eastAsia="Calibri" w:cs="Arial"/>
          <w:strike/>
          <w:szCs w:val="24"/>
        </w:rPr>
        <w:t>4.106.4.2.1 (Notes), 4.106.4.2.2 (Notes),</w:t>
      </w:r>
      <w:r w:rsidRPr="00266CDC">
        <w:rPr>
          <w:rFonts w:eastAsia="Calibri" w:cs="Arial"/>
          <w:szCs w:val="24"/>
        </w:rPr>
        <w:t xml:space="preserve"> 4.106.4.2.2.1.1, 4.106.4.2.2.1.2, </w:t>
      </w:r>
      <w:r w:rsidRPr="00266CDC">
        <w:rPr>
          <w:rFonts w:eastAsia="Calibri" w:cs="Arial"/>
          <w:strike/>
          <w:szCs w:val="24"/>
        </w:rPr>
        <w:t>4.106.4.2.2.1.3,</w:t>
      </w:r>
      <w:r w:rsidRPr="00266CDC">
        <w:rPr>
          <w:rFonts w:eastAsia="Calibri" w:cs="Arial"/>
          <w:szCs w:val="24"/>
        </w:rPr>
        <w:t xml:space="preserve"> </w:t>
      </w:r>
      <w:r w:rsidRPr="00266CDC">
        <w:rPr>
          <w:rFonts w:eastAsia="Calibri" w:cs="Arial"/>
          <w:strike/>
          <w:szCs w:val="24"/>
        </w:rPr>
        <w:t>4.106.4.2.3,</w:t>
      </w:r>
      <w:r w:rsidRPr="00266CDC">
        <w:rPr>
          <w:rFonts w:eastAsia="Calibri" w:cs="Arial"/>
          <w:szCs w:val="24"/>
        </w:rPr>
        <w:t xml:space="preserve"> </w:t>
      </w:r>
      <w:r w:rsidRPr="00266CDC">
        <w:rPr>
          <w:rFonts w:eastAsia="Calibri" w:cs="Arial"/>
          <w:strike/>
          <w:szCs w:val="24"/>
        </w:rPr>
        <w:t>4.106.4.2.4</w:t>
      </w:r>
      <w:r w:rsidRPr="00266CDC">
        <w:rPr>
          <w:rFonts w:eastAsia="Calibri" w:cs="Arial"/>
          <w:szCs w:val="24"/>
        </w:rPr>
        <w:t xml:space="preserve"> and 4.106.4.2.5. </w:t>
      </w:r>
    </w:p>
    <w:p w14:paraId="0C83F593" w14:textId="77777777" w:rsidR="007449C6" w:rsidRPr="00266CDC" w:rsidRDefault="007449C6" w:rsidP="007449C6">
      <w:pPr>
        <w:textAlignment w:val="baseline"/>
        <w:rPr>
          <w:rFonts w:eastAsia="Calibri" w:cs="Arial"/>
          <w:szCs w:val="24"/>
        </w:rPr>
      </w:pPr>
    </w:p>
    <w:p w14:paraId="2D186651" w14:textId="77777777" w:rsidR="00B3671C" w:rsidRDefault="00B3671C">
      <w:pPr>
        <w:rPr>
          <w:b/>
          <w:bCs/>
        </w:rPr>
      </w:pPr>
      <w:r>
        <w:rPr>
          <w:b/>
          <w:bCs/>
        </w:rPr>
        <w:br w:type="page"/>
      </w:r>
    </w:p>
    <w:p w14:paraId="756F0A7B" w14:textId="77777777" w:rsidR="00B3671C" w:rsidRDefault="00B3671C" w:rsidP="00B3671C">
      <w:pPr>
        <w:pStyle w:val="Heading1"/>
      </w:pPr>
      <w:r>
        <w:t>Nonresidential Requirements</w:t>
      </w:r>
    </w:p>
    <w:p w14:paraId="3D70CACA" w14:textId="52E6A5AF" w:rsidR="007449C6" w:rsidRPr="00266CDC" w:rsidRDefault="007449C6" w:rsidP="007449C6">
      <w:pPr>
        <w:textAlignment w:val="baseline"/>
        <w:rPr>
          <w:b/>
          <w:bCs/>
          <w:szCs w:val="24"/>
        </w:rPr>
      </w:pPr>
      <w:r w:rsidRPr="00266CDC">
        <w:rPr>
          <w:b/>
          <w:bCs/>
        </w:rPr>
        <w:t xml:space="preserve">The first paragraph of Section 5.106.5.3 Electric Vehicle (EV) charging </w:t>
      </w:r>
      <w:r w:rsidRPr="00266CDC">
        <w:t>is amended to read as follows:</w:t>
      </w:r>
    </w:p>
    <w:p w14:paraId="2B207EAD" w14:textId="537647EA" w:rsidR="007449C6" w:rsidRDefault="007449C6" w:rsidP="007449C6">
      <w:pPr>
        <w:pStyle w:val="NormalWeb"/>
        <w:ind w:left="720"/>
      </w:pPr>
      <w:r w:rsidRPr="00266CDC">
        <w:rPr>
          <w:b/>
          <w:bCs/>
        </w:rPr>
        <w:t>5.106.5.3 Electric vehicle (EV) charging. [N]</w:t>
      </w:r>
      <w:r w:rsidRPr="00266CDC">
        <w:t xml:space="preserve"> Construction to provide electric vehicle infrastructure and facilitate electric vehicle charging shall comply with Section </w:t>
      </w:r>
      <w:r w:rsidRPr="00EC46BC">
        <w:rPr>
          <w:u w:val="single"/>
        </w:rPr>
        <w:t>A5.106.5.3 (Tier</w:t>
      </w:r>
      <w:r w:rsidRPr="00266CDC">
        <w:rPr>
          <w:u w:val="single"/>
        </w:rPr>
        <w:t xml:space="preserve"> </w:t>
      </w:r>
      <w:r w:rsidR="00FA366F">
        <w:rPr>
          <w:u w:val="single"/>
        </w:rPr>
        <w:t>1</w:t>
      </w:r>
      <w:r w:rsidRPr="00266CDC">
        <w:rPr>
          <w:u w:val="single"/>
        </w:rPr>
        <w:t>)</w:t>
      </w:r>
      <w:r w:rsidRPr="00266CDC">
        <w:rPr>
          <w:strike/>
        </w:rPr>
        <w:t xml:space="preserve"> 5.106.5.3.1,</w:t>
      </w:r>
      <w:r w:rsidRPr="00266CDC">
        <w:t xml:space="preserve"> and shall be provided in accordance with regulations in the California Building Code and the California Electrical Code.</w:t>
      </w:r>
    </w:p>
    <w:p w14:paraId="54E657AB" w14:textId="6DF7D0D0" w:rsidR="00530DEB" w:rsidRPr="00D81D56" w:rsidRDefault="003471D1" w:rsidP="003471D1">
      <w:pPr>
        <w:pStyle w:val="NormalWeb"/>
        <w:rPr>
          <w:b/>
          <w:bCs/>
        </w:rPr>
      </w:pPr>
      <w:r w:rsidRPr="00D81D56">
        <w:rPr>
          <w:b/>
          <w:bCs/>
        </w:rPr>
        <w:t>Exception 2 of Section 5.106.5.3</w:t>
      </w:r>
      <w:r w:rsidR="000E3843" w:rsidRPr="00D81D56">
        <w:rPr>
          <w:b/>
          <w:bCs/>
        </w:rPr>
        <w:t xml:space="preserve"> is amended to read as follows:</w:t>
      </w:r>
    </w:p>
    <w:p w14:paraId="2859447D" w14:textId="77777777" w:rsidR="000D0EEC" w:rsidRPr="00D81D56" w:rsidRDefault="000D0EEC" w:rsidP="006E6CBF">
      <w:pPr>
        <w:pStyle w:val="NormalWeb"/>
        <w:ind w:left="720"/>
        <w:rPr>
          <w:rStyle w:val="Deletions"/>
        </w:rPr>
      </w:pPr>
      <w:r w:rsidRPr="00D81D56">
        <w:rPr>
          <w:rStyle w:val="Deletions"/>
        </w:rPr>
        <w:t>2. Parking spaces accessible only by automated mechanical car parking systems are not required to comply with this code section.</w:t>
      </w:r>
    </w:p>
    <w:p w14:paraId="015BC6C0" w14:textId="03A53CE4" w:rsidR="000E3843" w:rsidRPr="006E6CBF" w:rsidRDefault="000D0EEC" w:rsidP="006E6CBF">
      <w:pPr>
        <w:pStyle w:val="NormalWeb"/>
        <w:ind w:left="720"/>
        <w:rPr>
          <w:rStyle w:val="Additions"/>
        </w:rPr>
      </w:pPr>
      <w:r w:rsidRPr="00D81D56">
        <w:rPr>
          <w:rStyle w:val="Additions"/>
        </w:rPr>
        <w:t>2. Areas of parking facilities served by parking lifts, including but not limited to, automated mechanical-access open parking garages as defined in the California Building Code; or parking facilities otherwise incapable of supporting electric vehicle charging.</w:t>
      </w:r>
    </w:p>
    <w:p w14:paraId="18A87DC7" w14:textId="77777777" w:rsidR="007449C6" w:rsidRPr="00266CDC" w:rsidRDefault="007449C6" w:rsidP="007449C6">
      <w:pPr>
        <w:pStyle w:val="NormalWeb"/>
        <w:rPr>
          <w:b/>
          <w:bCs/>
        </w:rPr>
      </w:pPr>
      <w:r w:rsidRPr="00266CDC">
        <w:rPr>
          <w:b/>
          <w:bCs/>
        </w:rPr>
        <w:t xml:space="preserve">Section 5.106.5.3.2 Electric vehicle charging stations (EVCS) </w:t>
      </w:r>
      <w:r w:rsidRPr="00266CDC">
        <w:t>is amended to read as follows:</w:t>
      </w:r>
      <w:r w:rsidRPr="00266CDC">
        <w:rPr>
          <w:b/>
          <w:bCs/>
        </w:rPr>
        <w:t xml:space="preserve"> </w:t>
      </w:r>
    </w:p>
    <w:p w14:paraId="12EE0759" w14:textId="77777777" w:rsidR="007449C6" w:rsidRPr="00266CDC" w:rsidRDefault="007449C6" w:rsidP="007449C6">
      <w:pPr>
        <w:pStyle w:val="NormalWeb"/>
        <w:ind w:left="720"/>
        <w:rPr>
          <w:u w:val="single"/>
        </w:rPr>
      </w:pPr>
      <w:r w:rsidRPr="00266CDC">
        <w:rPr>
          <w:b/>
          <w:bCs/>
        </w:rPr>
        <w:t xml:space="preserve">5.106.5.3.2 Electric vehicle charging stations (EVCS). </w:t>
      </w:r>
      <w:r w:rsidRPr="00266CDC">
        <w:t xml:space="preserve">EV capable spaces shall be provided with </w:t>
      </w:r>
      <w:r w:rsidRPr="00266CDC">
        <w:rPr>
          <w:u w:val="single"/>
        </w:rPr>
        <w:t>electric vehicle supply equipment (</w:t>
      </w:r>
      <w:r w:rsidRPr="00266CDC">
        <w:t>EVSE</w:t>
      </w:r>
      <w:r w:rsidRPr="00266CDC">
        <w:rPr>
          <w:u w:val="single"/>
        </w:rPr>
        <w:t>)</w:t>
      </w:r>
      <w:r w:rsidRPr="00266CDC">
        <w:t xml:space="preserve"> to create EVCS in the number indicated in </w:t>
      </w:r>
      <w:r w:rsidRPr="00266CDC">
        <w:rPr>
          <w:u w:val="single"/>
        </w:rPr>
        <w:t>Section A5.106.5.3</w:t>
      </w:r>
      <w:r w:rsidRPr="00266CDC">
        <w:t xml:space="preserve"> </w:t>
      </w:r>
      <w:r w:rsidRPr="00266CDC">
        <w:rPr>
          <w:strike/>
        </w:rPr>
        <w:t>Table 5.106.5.3.1</w:t>
      </w:r>
      <w:r w:rsidRPr="00266CDC">
        <w:t xml:space="preserve">. The EVCS required by </w:t>
      </w:r>
      <w:r w:rsidRPr="00266CDC">
        <w:rPr>
          <w:u w:val="single"/>
        </w:rPr>
        <w:t>Section A5.106.5.3</w:t>
      </w:r>
      <w:r w:rsidRPr="00266CDC">
        <w:rPr>
          <w:strike/>
        </w:rPr>
        <w:t>Table 5.106.5.3.1 may</w:t>
      </w:r>
      <w:r w:rsidRPr="00266CDC">
        <w:t xml:space="preserve"> </w:t>
      </w:r>
      <w:r w:rsidRPr="00266CDC">
        <w:rPr>
          <w:u w:val="single"/>
        </w:rPr>
        <w:t>shall</w:t>
      </w:r>
      <w:r w:rsidRPr="00266CDC">
        <w:t xml:space="preserve"> be provided with </w:t>
      </w:r>
      <w:r w:rsidRPr="00266CDC">
        <w:rPr>
          <w:u w:val="single"/>
        </w:rPr>
        <w:t>Level 2</w:t>
      </w:r>
      <w:r w:rsidRPr="00266CDC">
        <w:t xml:space="preserve"> EVSE </w:t>
      </w:r>
      <w:r w:rsidRPr="00266CDC">
        <w:rPr>
          <w:u w:val="single"/>
        </w:rPr>
        <w:t>or DCFC as permitted in Section 5.106.5.3.2.1.</w:t>
      </w:r>
      <w:r w:rsidRPr="00266CDC">
        <w:t xml:space="preserve"> </w:t>
      </w:r>
      <w:r w:rsidRPr="00266CDC">
        <w:rPr>
          <w:strike/>
        </w:rPr>
        <w:t>in any combination of Level 2 and Direct Current Fast Charging (DCFC), except that at least one Level 2 EVSE shall be provided.</w:t>
      </w:r>
      <w:r w:rsidRPr="00266CDC">
        <w:t xml:space="preserve"> </w:t>
      </w:r>
      <w:r w:rsidRPr="00266CDC">
        <w:rPr>
          <w:u w:val="single"/>
        </w:rPr>
        <w:t>At least one Level 2 EVSE shall be provided.</w:t>
      </w:r>
    </w:p>
    <w:p w14:paraId="509CA2D2" w14:textId="77777777" w:rsidR="007449C6" w:rsidRPr="00266CDC" w:rsidRDefault="007449C6" w:rsidP="007449C6">
      <w:pPr>
        <w:ind w:left="720"/>
        <w:rPr>
          <w:rFonts w:cs="Arial"/>
          <w:szCs w:val="24"/>
        </w:rPr>
      </w:pPr>
      <w:r w:rsidRPr="00266CDC">
        <w:rPr>
          <w:rFonts w:cs="Arial"/>
          <w:szCs w:val="24"/>
        </w:rPr>
        <w:t xml:space="preserve">One EV charger with multiple connectors capable of charging multiple EVs simultaneously shall be permitted if the electrical load capacity required by Section </w:t>
      </w:r>
      <w:r w:rsidRPr="00266CDC">
        <w:rPr>
          <w:u w:val="single"/>
        </w:rPr>
        <w:t xml:space="preserve">A5.106.5.3 </w:t>
      </w:r>
      <w:r w:rsidRPr="00266CDC">
        <w:rPr>
          <w:rFonts w:cs="Arial"/>
          <w:strike/>
          <w:szCs w:val="24"/>
        </w:rPr>
        <w:t>5.106.5.3.1</w:t>
      </w:r>
      <w:r w:rsidRPr="00266CDC">
        <w:rPr>
          <w:rFonts w:cs="Arial"/>
          <w:szCs w:val="24"/>
        </w:rPr>
        <w:t xml:space="preserve"> for each EV capable space is accumulatively supplied to the EV charger.</w:t>
      </w:r>
    </w:p>
    <w:p w14:paraId="241F22B0" w14:textId="77777777" w:rsidR="007449C6" w:rsidRPr="00266CDC" w:rsidRDefault="007449C6" w:rsidP="007449C6">
      <w:pPr>
        <w:ind w:left="1080"/>
        <w:rPr>
          <w:rFonts w:cs="Arial"/>
          <w:strike/>
          <w:szCs w:val="24"/>
        </w:rPr>
      </w:pPr>
      <w:r w:rsidRPr="00266CDC">
        <w:rPr>
          <w:rFonts w:cs="Arial"/>
          <w:b/>
          <w:bCs/>
          <w:szCs w:val="24"/>
          <w:u w:val="single"/>
        </w:rPr>
        <w:t>5.106.5.3.2.1</w:t>
      </w:r>
      <w:r w:rsidRPr="00266CDC">
        <w:rPr>
          <w:rFonts w:cs="Arial"/>
          <w:szCs w:val="24"/>
        </w:rPr>
        <w:t xml:space="preserve"> The installation of each DCFC EVSE shall be permitted to reduce the minimum number of required EV capable spaces without EVSE </w:t>
      </w:r>
      <w:r w:rsidRPr="00266CDC">
        <w:rPr>
          <w:rFonts w:cs="Arial"/>
          <w:szCs w:val="24"/>
          <w:u w:val="single"/>
        </w:rPr>
        <w:t>or EVCS with Level 2 EVSE</w:t>
      </w:r>
      <w:r w:rsidRPr="00266CDC">
        <w:rPr>
          <w:rFonts w:cs="Arial"/>
          <w:szCs w:val="24"/>
        </w:rPr>
        <w:t xml:space="preserve"> by five</w:t>
      </w:r>
      <w:bookmarkStart w:id="4" w:name="_Hlk76572744"/>
      <w:r w:rsidRPr="00266CDC">
        <w:rPr>
          <w:rFonts w:cs="Arial"/>
          <w:szCs w:val="24"/>
        </w:rPr>
        <w:t xml:space="preserve"> and reduce proportionally the required electrical load capacity to the service panel or subpanel</w:t>
      </w:r>
      <w:bookmarkEnd w:id="4"/>
      <w:r w:rsidRPr="00266CDC">
        <w:rPr>
          <w:rFonts w:cs="Arial"/>
          <w:szCs w:val="24"/>
        </w:rPr>
        <w:t>.</w:t>
      </w:r>
    </w:p>
    <w:p w14:paraId="59828FF4" w14:textId="77777777" w:rsidR="007449C6" w:rsidRDefault="007449C6" w:rsidP="007449C6">
      <w:pPr>
        <w:ind w:left="1080"/>
        <w:rPr>
          <w:rFonts w:cs="Arial"/>
          <w:szCs w:val="24"/>
          <w:u w:val="single"/>
        </w:rPr>
      </w:pPr>
      <w:bookmarkStart w:id="5" w:name="_Hlk76572529"/>
      <w:r w:rsidRPr="00266CDC">
        <w:rPr>
          <w:rFonts w:cs="Arial"/>
          <w:b/>
          <w:bCs/>
          <w:szCs w:val="24"/>
          <w:u w:val="single"/>
        </w:rPr>
        <w:t>5.106.5.3.2.2</w:t>
      </w:r>
      <w:r w:rsidRPr="00266CDC">
        <w:rPr>
          <w:rFonts w:cs="Arial"/>
          <w:szCs w:val="24"/>
          <w:u w:val="single"/>
        </w:rPr>
        <w:t xml:space="preserve"> The installation of two Low Power Level 2 EV charging receptacles shall be permitted to reduce the minimum number of required EV capable spaces without EVSE in </w:t>
      </w:r>
      <w:r w:rsidRPr="00266CDC">
        <w:rPr>
          <w:u w:val="single"/>
        </w:rPr>
        <w:t xml:space="preserve">Section A5.106.3 </w:t>
      </w:r>
      <w:r w:rsidRPr="00266CDC">
        <w:rPr>
          <w:rFonts w:cs="Arial"/>
          <w:szCs w:val="24"/>
          <w:u w:val="single"/>
        </w:rPr>
        <w:t>by one.</w:t>
      </w:r>
      <w:bookmarkEnd w:id="5"/>
    </w:p>
    <w:p w14:paraId="5E539086" w14:textId="32AC2D5E" w:rsidR="001A74A0" w:rsidRPr="00E0238C" w:rsidRDefault="003623AE" w:rsidP="007449C6">
      <w:pPr>
        <w:ind w:left="1080"/>
        <w:rPr>
          <w:rStyle w:val="Additions"/>
        </w:rPr>
      </w:pPr>
      <w:r w:rsidRPr="00D81D56">
        <w:rPr>
          <w:rStyle w:val="Instructions"/>
        </w:rPr>
        <w:t>[</w:t>
      </w:r>
      <w:r w:rsidR="0054449E" w:rsidRPr="00D81D56">
        <w:rPr>
          <w:rStyle w:val="Instructions"/>
        </w:rPr>
        <w:t>Optional</w:t>
      </w:r>
      <w:r w:rsidRPr="00D81D56">
        <w:rPr>
          <w:rStyle w:val="Instructions"/>
        </w:rPr>
        <w:t>]</w:t>
      </w:r>
      <w:r w:rsidRPr="00D81D56">
        <w:rPr>
          <w:rStyle w:val="Additions"/>
          <w:b/>
          <w:bCs/>
        </w:rPr>
        <w:t xml:space="preserve"> </w:t>
      </w:r>
      <w:r w:rsidR="00E0238C" w:rsidRPr="00D81D56">
        <w:rPr>
          <w:rStyle w:val="Additions"/>
          <w:b/>
          <w:bCs/>
        </w:rPr>
        <w:t>5.106.5.3.2.</w:t>
      </w:r>
      <w:r w:rsidR="00D30BA5" w:rsidRPr="00D81D56">
        <w:rPr>
          <w:rStyle w:val="Additions"/>
          <w:b/>
          <w:bCs/>
        </w:rPr>
        <w:t>3</w:t>
      </w:r>
      <w:r w:rsidR="00E0238C" w:rsidRPr="00D81D56">
        <w:rPr>
          <w:rStyle w:val="Additions"/>
        </w:rPr>
        <w:t xml:space="preserve"> Raceway Capacity Requirements. To allow for future upgrades to the electrical conductors serving low power Level 2 charging receptacles, the listed raceway serving such receptacles shall be sized to allow the installation of a dedicated 208/240-volt 40-ampere branch circuit. Where no raceway is used, the conductors shall be sized to accommodate a 208/240-volt 40-ampere receptacle.</w:t>
      </w:r>
    </w:p>
    <w:p w14:paraId="00D97191" w14:textId="77777777" w:rsidR="007449C6" w:rsidRPr="00266CDC" w:rsidRDefault="007449C6" w:rsidP="007449C6">
      <w:pPr>
        <w:spacing w:line="259" w:lineRule="auto"/>
        <w:rPr>
          <w:rStyle w:val="StyleBold"/>
          <w:rFonts w:eastAsia="Arial Unicode MS"/>
        </w:rPr>
      </w:pPr>
    </w:p>
    <w:p w14:paraId="30E666B3" w14:textId="77777777" w:rsidR="007449C6" w:rsidRPr="00266CDC" w:rsidRDefault="007449C6" w:rsidP="007449C6">
      <w:pPr>
        <w:spacing w:line="259" w:lineRule="auto"/>
        <w:rPr>
          <w:rStyle w:val="StyleBold"/>
          <w:rFonts w:eastAsia="Arial Unicode MS"/>
        </w:rPr>
      </w:pPr>
      <w:r w:rsidRPr="00266CDC">
        <w:rPr>
          <w:rStyle w:val="StyleBold"/>
          <w:rFonts w:eastAsia="Arial Unicode MS"/>
        </w:rPr>
        <w:t>Section 5.106.5.3.4</w:t>
      </w:r>
      <w:r w:rsidRPr="00266CDC">
        <w:rPr>
          <w:rFonts w:cs="Arial"/>
          <w:szCs w:val="24"/>
        </w:rPr>
        <w:t xml:space="preserve"> </w:t>
      </w:r>
      <w:r w:rsidRPr="00266CDC">
        <w:rPr>
          <w:rStyle w:val="StyleBold"/>
          <w:rFonts w:eastAsia="Arial Unicode MS"/>
        </w:rPr>
        <w:t>Accessible EVCS</w:t>
      </w:r>
      <w:r w:rsidRPr="00266CDC">
        <w:rPr>
          <w:rFonts w:cs="Arial"/>
          <w:b/>
          <w:bCs/>
          <w:szCs w:val="24"/>
        </w:rPr>
        <w:t xml:space="preserve"> </w:t>
      </w:r>
      <w:r w:rsidRPr="00266CDC">
        <w:rPr>
          <w:rFonts w:cs="Arial"/>
          <w:szCs w:val="24"/>
        </w:rPr>
        <w:t>is amended to read as follows:</w:t>
      </w:r>
    </w:p>
    <w:p w14:paraId="510D3AB3" w14:textId="77777777" w:rsidR="00A75B92" w:rsidRDefault="00A75B92" w:rsidP="007449C6">
      <w:pPr>
        <w:spacing w:line="259" w:lineRule="auto"/>
        <w:ind w:left="720"/>
        <w:rPr>
          <w:rStyle w:val="StyleBold"/>
          <w:rFonts w:eastAsia="Arial Unicode MS"/>
        </w:rPr>
      </w:pPr>
    </w:p>
    <w:p w14:paraId="11FE9C26" w14:textId="3102BCAE" w:rsidR="007449C6" w:rsidRPr="00266CDC" w:rsidRDefault="007449C6" w:rsidP="007449C6">
      <w:pPr>
        <w:spacing w:line="259" w:lineRule="auto"/>
        <w:ind w:left="720"/>
        <w:rPr>
          <w:rFonts w:cs="Arial"/>
          <w:i/>
          <w:iCs/>
          <w:szCs w:val="24"/>
        </w:rPr>
      </w:pPr>
      <w:r w:rsidRPr="00266CDC">
        <w:rPr>
          <w:rStyle w:val="StyleBold"/>
          <w:rFonts w:eastAsia="Arial Unicode MS"/>
        </w:rPr>
        <w:t>5.106.5.3.4</w:t>
      </w:r>
      <w:r w:rsidRPr="00266CDC">
        <w:rPr>
          <w:rFonts w:cs="Arial"/>
          <w:szCs w:val="24"/>
        </w:rPr>
        <w:t xml:space="preserve"> </w:t>
      </w:r>
      <w:r w:rsidRPr="00266CDC">
        <w:rPr>
          <w:rStyle w:val="StyleBold"/>
          <w:rFonts w:eastAsia="Arial Unicode MS"/>
        </w:rPr>
        <w:t xml:space="preserve">Accessible </w:t>
      </w:r>
      <w:r w:rsidRPr="00266CDC">
        <w:rPr>
          <w:rFonts w:cs="Arial"/>
          <w:b/>
          <w:bCs/>
          <w:szCs w:val="24"/>
          <w:u w:val="single"/>
        </w:rPr>
        <w:t>electric vehicle charging station</w:t>
      </w:r>
      <w:r w:rsidRPr="00266CDC">
        <w:rPr>
          <w:rStyle w:val="StyleBold"/>
          <w:rFonts w:eastAsia="Arial Unicode MS"/>
        </w:rPr>
        <w:t xml:space="preserve"> </w:t>
      </w:r>
      <w:r w:rsidRPr="00266CDC">
        <w:rPr>
          <w:rFonts w:cs="Arial"/>
          <w:b/>
          <w:bCs/>
          <w:szCs w:val="24"/>
          <w:u w:val="single"/>
        </w:rPr>
        <w:t>(</w:t>
      </w:r>
      <w:r w:rsidRPr="00266CDC">
        <w:rPr>
          <w:rStyle w:val="StyleBold"/>
          <w:rFonts w:eastAsia="Arial Unicode MS"/>
        </w:rPr>
        <w:t>EVCS</w:t>
      </w:r>
      <w:r w:rsidRPr="00266CDC">
        <w:rPr>
          <w:rFonts w:cs="Arial"/>
          <w:b/>
          <w:bCs/>
          <w:szCs w:val="24"/>
          <w:u w:val="single"/>
        </w:rPr>
        <w:t>)</w:t>
      </w:r>
      <w:r w:rsidRPr="00266CDC">
        <w:rPr>
          <w:rFonts w:cs="Arial"/>
          <w:szCs w:val="24"/>
        </w:rPr>
        <w:t xml:space="preserve">. </w:t>
      </w:r>
      <w:r w:rsidRPr="00266CDC">
        <w:rPr>
          <w:rFonts w:cs="Arial"/>
          <w:noProof/>
          <w:szCs w:val="24"/>
        </w:rPr>
        <w:t>When EVSE is installed, accessible EVCS shall be provided in accordance with the California Building Code Chapter 11B Section 11B-228.3.</w:t>
      </w:r>
    </w:p>
    <w:p w14:paraId="6FB928D8" w14:textId="77777777" w:rsidR="007449C6" w:rsidRPr="00266CDC" w:rsidRDefault="007449C6" w:rsidP="007449C6">
      <w:pPr>
        <w:spacing w:after="160" w:line="259" w:lineRule="auto"/>
        <w:ind w:left="720"/>
        <w:rPr>
          <w:rFonts w:cs="Arial"/>
          <w:b/>
          <w:bCs/>
          <w:strike/>
          <w:szCs w:val="24"/>
        </w:rPr>
      </w:pPr>
      <w:r w:rsidRPr="00266CDC">
        <w:rPr>
          <w:rFonts w:cs="Arial"/>
          <w:b/>
          <w:bCs/>
          <w:strike/>
          <w:szCs w:val="24"/>
        </w:rPr>
        <w:t xml:space="preserve">Note: </w:t>
      </w:r>
      <w:r w:rsidRPr="00266CDC">
        <w:rPr>
          <w:rFonts w:cs="Arial"/>
          <w:strike/>
          <w:szCs w:val="24"/>
        </w:rPr>
        <w:t>For EVCS signs,</w:t>
      </w:r>
      <w:r w:rsidRPr="00266CDC">
        <w:rPr>
          <w:rFonts w:cs="Arial"/>
          <w:b/>
          <w:bCs/>
          <w:strike/>
          <w:szCs w:val="24"/>
        </w:rPr>
        <w:t xml:space="preserve"> </w:t>
      </w:r>
      <w:r w:rsidRPr="00266CDC">
        <w:rPr>
          <w:rFonts w:cs="Arial"/>
          <w:strike/>
          <w:szCs w:val="24"/>
        </w:rPr>
        <w:t xml:space="preserve">refer to </w:t>
      </w:r>
      <w:r w:rsidRPr="00266CDC">
        <w:rPr>
          <w:rFonts w:eastAsia="Batang" w:cs="Arial"/>
          <w:strike/>
          <w:szCs w:val="24"/>
        </w:rPr>
        <w:t>Caltrans Traffic Operations Policy Directive 13-01 (Zero Emission Vehicle Signs and Pavement Markings) or its successor(s)</w:t>
      </w:r>
    </w:p>
    <w:p w14:paraId="2D60D028" w14:textId="77777777" w:rsidR="007449C6" w:rsidRPr="00266CDC" w:rsidRDefault="007449C6" w:rsidP="007449C6">
      <w:pPr>
        <w:spacing w:line="259" w:lineRule="auto"/>
        <w:rPr>
          <w:b/>
          <w:bCs/>
        </w:rPr>
      </w:pPr>
      <w:r w:rsidRPr="00266CDC">
        <w:rPr>
          <w:rStyle w:val="StyleBold"/>
          <w:rFonts w:eastAsia="Arial Unicode MS"/>
        </w:rPr>
        <w:t xml:space="preserve">Section </w:t>
      </w:r>
      <w:r w:rsidRPr="00266CDC">
        <w:rPr>
          <w:rFonts w:cs="Arial"/>
          <w:b/>
          <w:bCs/>
          <w:szCs w:val="24"/>
        </w:rPr>
        <w:t>5.106.5.3.5 Electric vehicle charging station signage</w:t>
      </w:r>
      <w:r w:rsidRPr="00266CDC">
        <w:rPr>
          <w:rFonts w:cs="Arial"/>
          <w:szCs w:val="24"/>
        </w:rPr>
        <w:t xml:space="preserve"> is added to read as follows:</w:t>
      </w:r>
    </w:p>
    <w:p w14:paraId="4CBA0B47" w14:textId="77777777" w:rsidR="00A75B92" w:rsidRDefault="00A75B92" w:rsidP="007449C6">
      <w:pPr>
        <w:spacing w:after="160" w:line="259" w:lineRule="auto"/>
        <w:ind w:left="720"/>
        <w:rPr>
          <w:rFonts w:cs="Arial"/>
          <w:b/>
          <w:bCs/>
          <w:szCs w:val="24"/>
          <w:u w:val="single"/>
        </w:rPr>
      </w:pPr>
    </w:p>
    <w:p w14:paraId="761E5D21" w14:textId="3DD08046" w:rsidR="007449C6" w:rsidRPr="00266CDC" w:rsidRDefault="007449C6" w:rsidP="007449C6">
      <w:pPr>
        <w:spacing w:after="160" w:line="259" w:lineRule="auto"/>
        <w:ind w:left="720"/>
        <w:rPr>
          <w:rFonts w:eastAsia="Batang" w:cs="Arial"/>
          <w:szCs w:val="24"/>
          <w:u w:val="single"/>
        </w:rPr>
      </w:pPr>
      <w:r w:rsidRPr="00266CDC">
        <w:rPr>
          <w:rFonts w:cs="Arial"/>
          <w:b/>
          <w:bCs/>
          <w:szCs w:val="24"/>
          <w:u w:val="single"/>
        </w:rPr>
        <w:t>5.106.5.3.5 Electric vehicle charging station signage.</w:t>
      </w:r>
      <w:r w:rsidR="00F448ED">
        <w:rPr>
          <w:rFonts w:cs="Arial"/>
          <w:b/>
          <w:bCs/>
          <w:szCs w:val="24"/>
          <w:u w:val="single"/>
        </w:rPr>
        <w:t xml:space="preserve"> </w:t>
      </w:r>
      <w:r w:rsidRPr="00266CDC">
        <w:rPr>
          <w:rFonts w:cs="Arial"/>
          <w:szCs w:val="24"/>
          <w:u w:val="single"/>
        </w:rPr>
        <w:t>Electric vehicle charging stations shall be identified by signage or pavement markings in compliance with</w:t>
      </w:r>
      <w:r w:rsidRPr="00266CDC">
        <w:rPr>
          <w:rFonts w:cs="Arial"/>
          <w:b/>
          <w:bCs/>
          <w:szCs w:val="24"/>
          <w:u w:val="single"/>
        </w:rPr>
        <w:t xml:space="preserve"> </w:t>
      </w:r>
      <w:r w:rsidRPr="00266CDC">
        <w:rPr>
          <w:rFonts w:eastAsia="Batang" w:cs="Arial"/>
          <w:szCs w:val="24"/>
          <w:u w:val="single"/>
        </w:rPr>
        <w:t>Caltrans Traffic Operations Policy Directive 13-01 (Zero Emission Vehicle Signs and Pavement Markings) or its successor(s).</w:t>
      </w:r>
    </w:p>
    <w:p w14:paraId="05E7A996" w14:textId="77777777" w:rsidR="007449C6" w:rsidRPr="00266CDC" w:rsidRDefault="007449C6" w:rsidP="007449C6">
      <w:pPr>
        <w:textAlignment w:val="baseline"/>
        <w:rPr>
          <w:b/>
          <w:bCs/>
        </w:rPr>
      </w:pPr>
    </w:p>
    <w:p w14:paraId="236196DE" w14:textId="77777777" w:rsidR="007449C6" w:rsidRPr="00266CDC" w:rsidRDefault="007449C6" w:rsidP="007449C6">
      <w:pPr>
        <w:textAlignment w:val="baseline"/>
      </w:pPr>
      <w:r w:rsidRPr="00266CDC">
        <w:rPr>
          <w:b/>
          <w:bCs/>
        </w:rPr>
        <w:t>Section 5.106.5.4 Electric vehicle (EV) charging: medium-duty and heavy-duty</w:t>
      </w:r>
      <w:r w:rsidRPr="00266CDC">
        <w:t xml:space="preserve"> is renumbered as Section 5.106.5.5 and amended to read as specified below.</w:t>
      </w:r>
    </w:p>
    <w:p w14:paraId="71E57F0A" w14:textId="77777777" w:rsidR="007449C6" w:rsidRPr="00266CDC" w:rsidRDefault="007449C6" w:rsidP="007449C6">
      <w:pPr>
        <w:textAlignment w:val="baseline"/>
      </w:pPr>
    </w:p>
    <w:p w14:paraId="0C478BE9" w14:textId="054FD7DB" w:rsidR="007449C6" w:rsidRPr="00266CDC" w:rsidRDefault="007449C6" w:rsidP="007449C6">
      <w:pPr>
        <w:textAlignment w:val="baseline"/>
      </w:pPr>
      <w:r w:rsidRPr="00266CDC">
        <w:rPr>
          <w:b/>
          <w:bCs/>
        </w:rPr>
        <w:t>A new Section 5.106.5.4 Additions or Alterations to existing buildings or parking facilities</w:t>
      </w:r>
      <w:r w:rsidRPr="00266CDC">
        <w:t xml:space="preserve"> is added to read as follows:</w:t>
      </w:r>
      <w:r w:rsidR="003B5062">
        <w:rPr>
          <w:rStyle w:val="FootnoteReference"/>
        </w:rPr>
        <w:footnoteReference w:id="7"/>
      </w:r>
    </w:p>
    <w:p w14:paraId="4A20BBF1" w14:textId="77777777" w:rsidR="008969FA" w:rsidRPr="00266CDC" w:rsidRDefault="008969FA" w:rsidP="007449C6">
      <w:pPr>
        <w:textAlignment w:val="baseline"/>
      </w:pPr>
    </w:p>
    <w:p w14:paraId="2FCF2510" w14:textId="77777777" w:rsidR="007449C6" w:rsidRPr="00266CDC" w:rsidRDefault="007449C6" w:rsidP="007449C6">
      <w:pPr>
        <w:ind w:left="360"/>
        <w:rPr>
          <w:rFonts w:eastAsia="Batang"/>
          <w:strike/>
          <w:szCs w:val="24"/>
          <w:u w:val="single"/>
        </w:rPr>
      </w:pPr>
      <w:r w:rsidRPr="00266CDC">
        <w:rPr>
          <w:b/>
          <w:bCs/>
          <w:szCs w:val="24"/>
          <w:u w:val="single"/>
        </w:rPr>
        <w:t xml:space="preserve">5.106.5.4 </w:t>
      </w:r>
      <w:bookmarkStart w:id="6" w:name="_Hlk116651190"/>
      <w:r w:rsidRPr="00266CDC">
        <w:rPr>
          <w:b/>
          <w:bCs/>
          <w:szCs w:val="24"/>
          <w:u w:val="single"/>
        </w:rPr>
        <w:t>Additions or Alterations to existing buildings or parking facilities</w:t>
      </w:r>
      <w:bookmarkEnd w:id="6"/>
      <w:r w:rsidRPr="00266CDC">
        <w:rPr>
          <w:b/>
          <w:bCs/>
          <w:szCs w:val="24"/>
          <w:u w:val="single"/>
        </w:rPr>
        <w:t xml:space="preserve"> [A]. [BSC-CG] </w:t>
      </w:r>
      <w:r w:rsidRPr="00266CDC">
        <w:rPr>
          <w:szCs w:val="24"/>
          <w:u w:val="single"/>
        </w:rPr>
        <w:t>Existing</w:t>
      </w:r>
      <w:r w:rsidRPr="00266CDC">
        <w:rPr>
          <w:b/>
          <w:bCs/>
          <w:szCs w:val="24"/>
          <w:u w:val="single"/>
        </w:rPr>
        <w:t xml:space="preserve"> </w:t>
      </w:r>
      <w:r w:rsidRPr="00266CDC">
        <w:rPr>
          <w:szCs w:val="24"/>
          <w:u w:val="single"/>
        </w:rPr>
        <w:t xml:space="preserve">buildings or parking facilities being modified by one of the following, shall comply with Section 5.106.5.4.1 or 5.106.5.4.2. </w:t>
      </w:r>
      <w:r w:rsidRPr="00266CDC">
        <w:rPr>
          <w:rFonts w:eastAsia="TimesNewRoman--Identity-H"/>
          <w:szCs w:val="24"/>
          <w:u w:val="single"/>
        </w:rPr>
        <w:t>When EVSE is installed, accessible EVCS shall be provided in accordance with the California Building Code, Chapter 11B, Section 11B-228.3.</w:t>
      </w:r>
    </w:p>
    <w:p w14:paraId="38CDB23A" w14:textId="77777777" w:rsidR="007449C6" w:rsidRPr="00266CDC" w:rsidRDefault="007449C6" w:rsidP="00AE7B84">
      <w:pPr>
        <w:numPr>
          <w:ilvl w:val="0"/>
          <w:numId w:val="9"/>
        </w:numPr>
        <w:autoSpaceDE w:val="0"/>
        <w:autoSpaceDN w:val="0"/>
        <w:adjustRightInd w:val="0"/>
        <w:spacing w:before="100" w:beforeAutospacing="1"/>
        <w:ind w:left="994" w:hanging="274"/>
        <w:rPr>
          <w:rFonts w:eastAsia="Batang"/>
          <w:szCs w:val="24"/>
          <w:u w:val="single"/>
        </w:rPr>
      </w:pPr>
      <w:r w:rsidRPr="00266CDC">
        <w:rPr>
          <w:rFonts w:eastAsia="Batang"/>
          <w:szCs w:val="24"/>
          <w:u w:val="single"/>
        </w:rPr>
        <w:t>When the scope of construction work includes an increase in power supply to an electric service panel as part of a parking facility addition or alteration.</w:t>
      </w:r>
    </w:p>
    <w:p w14:paraId="463B25A0" w14:textId="77777777" w:rsidR="007449C6" w:rsidRPr="00266CDC" w:rsidRDefault="007449C6" w:rsidP="00AE7B84">
      <w:pPr>
        <w:numPr>
          <w:ilvl w:val="0"/>
          <w:numId w:val="9"/>
        </w:numPr>
        <w:autoSpaceDE w:val="0"/>
        <w:autoSpaceDN w:val="0"/>
        <w:adjustRightInd w:val="0"/>
        <w:spacing w:before="100" w:beforeAutospacing="1"/>
        <w:ind w:left="994" w:hanging="274"/>
        <w:rPr>
          <w:rFonts w:eastAsia="Batang"/>
          <w:szCs w:val="24"/>
          <w:u w:val="single"/>
        </w:rPr>
      </w:pPr>
      <w:r w:rsidRPr="00266CDC">
        <w:rPr>
          <w:rFonts w:eastAsia="Batang"/>
          <w:szCs w:val="24"/>
          <w:u w:val="single"/>
        </w:rPr>
        <w:t>When a new photovoltaic system is installed covering existing parking spaces.</w:t>
      </w:r>
    </w:p>
    <w:p w14:paraId="661F3AB2" w14:textId="77777777" w:rsidR="007449C6" w:rsidRPr="00266CDC" w:rsidRDefault="007449C6" w:rsidP="00AE7B84">
      <w:pPr>
        <w:numPr>
          <w:ilvl w:val="0"/>
          <w:numId w:val="9"/>
        </w:numPr>
        <w:autoSpaceDE w:val="0"/>
        <w:autoSpaceDN w:val="0"/>
        <w:adjustRightInd w:val="0"/>
        <w:spacing w:before="100" w:beforeAutospacing="1"/>
        <w:ind w:left="994" w:hanging="274"/>
        <w:rPr>
          <w:rFonts w:eastAsia="Batang"/>
          <w:szCs w:val="24"/>
          <w:u w:val="single"/>
        </w:rPr>
      </w:pPr>
      <w:r w:rsidRPr="00266CDC">
        <w:rPr>
          <w:rFonts w:eastAsia="Batang"/>
          <w:szCs w:val="24"/>
          <w:u w:val="single"/>
        </w:rPr>
        <w:t>When additions or alterations to existing buildings are triggered pursuant to code Section 301.3 and the scope of work includes an increase in power supply to an electric service panel.</w:t>
      </w:r>
    </w:p>
    <w:p w14:paraId="571BBB1E" w14:textId="77777777" w:rsidR="007449C6" w:rsidRPr="00266CDC" w:rsidRDefault="007449C6" w:rsidP="007449C6">
      <w:pPr>
        <w:autoSpaceDE w:val="0"/>
        <w:autoSpaceDN w:val="0"/>
        <w:adjustRightInd w:val="0"/>
        <w:ind w:left="720"/>
        <w:rPr>
          <w:b/>
          <w:bCs/>
          <w:szCs w:val="24"/>
          <w:u w:val="single"/>
        </w:rPr>
      </w:pPr>
      <w:r w:rsidRPr="00266CDC">
        <w:rPr>
          <w:b/>
          <w:bCs/>
          <w:szCs w:val="24"/>
          <w:u w:val="single"/>
        </w:rPr>
        <w:t>Exceptions:</w:t>
      </w:r>
    </w:p>
    <w:p w14:paraId="5DE662C9" w14:textId="77777777" w:rsidR="007449C6" w:rsidRPr="00266CDC" w:rsidRDefault="007449C6" w:rsidP="003E54A5">
      <w:pPr>
        <w:numPr>
          <w:ilvl w:val="0"/>
          <w:numId w:val="10"/>
        </w:numPr>
        <w:autoSpaceDE w:val="0"/>
        <w:autoSpaceDN w:val="0"/>
        <w:adjustRightInd w:val="0"/>
        <w:spacing w:before="100" w:beforeAutospacing="1"/>
        <w:ind w:left="1800"/>
        <w:contextualSpacing/>
        <w:rPr>
          <w:rFonts w:eastAsia="Batang"/>
          <w:szCs w:val="24"/>
          <w:u w:val="single"/>
        </w:rPr>
      </w:pPr>
      <w:r w:rsidRPr="00266CDC">
        <w:rPr>
          <w:rFonts w:eastAsia="Batang"/>
          <w:szCs w:val="24"/>
          <w:u w:val="single"/>
        </w:rPr>
        <w:t>On a case-by-case basis where the local enforcing agency has determined compliance with this section is not feasible based upon one of the following conditions:</w:t>
      </w:r>
    </w:p>
    <w:p w14:paraId="6A68A0A5" w14:textId="77777777" w:rsidR="007449C6" w:rsidRPr="00266CDC" w:rsidRDefault="007449C6" w:rsidP="007A2BBA">
      <w:pPr>
        <w:numPr>
          <w:ilvl w:val="2"/>
          <w:numId w:val="8"/>
        </w:numPr>
        <w:autoSpaceDE w:val="0"/>
        <w:autoSpaceDN w:val="0"/>
        <w:adjustRightInd w:val="0"/>
        <w:spacing w:before="100" w:beforeAutospacing="1"/>
        <w:ind w:left="2520"/>
        <w:rPr>
          <w:rFonts w:eastAsia="Batang"/>
          <w:szCs w:val="24"/>
          <w:u w:val="single"/>
        </w:rPr>
      </w:pPr>
      <w:r w:rsidRPr="00266CDC">
        <w:rPr>
          <w:rFonts w:eastAsia="Batang"/>
          <w:szCs w:val="24"/>
          <w:u w:val="single"/>
        </w:rPr>
        <w:t>Where there is no local utility power supply.</w:t>
      </w:r>
    </w:p>
    <w:p w14:paraId="4AE7BBCC" w14:textId="77777777" w:rsidR="007449C6" w:rsidRPr="00266CDC" w:rsidRDefault="007449C6" w:rsidP="007A2BBA">
      <w:pPr>
        <w:numPr>
          <w:ilvl w:val="2"/>
          <w:numId w:val="8"/>
        </w:numPr>
        <w:autoSpaceDE w:val="0"/>
        <w:autoSpaceDN w:val="0"/>
        <w:adjustRightInd w:val="0"/>
        <w:spacing w:before="100" w:beforeAutospacing="1"/>
        <w:ind w:left="2520"/>
        <w:contextualSpacing/>
        <w:rPr>
          <w:rFonts w:eastAsia="Batang"/>
          <w:szCs w:val="24"/>
          <w:u w:val="single"/>
        </w:rPr>
      </w:pPr>
      <w:r w:rsidRPr="00266CDC">
        <w:rPr>
          <w:rFonts w:eastAsia="Batang"/>
          <w:szCs w:val="24"/>
          <w:u w:val="single"/>
        </w:rPr>
        <w:t>Where the local utility is unable to supply adequate power.</w:t>
      </w:r>
    </w:p>
    <w:p w14:paraId="371C637E" w14:textId="77777777" w:rsidR="007449C6" w:rsidRPr="00266CDC" w:rsidRDefault="007449C6" w:rsidP="007A2BBA">
      <w:pPr>
        <w:numPr>
          <w:ilvl w:val="2"/>
          <w:numId w:val="8"/>
        </w:numPr>
        <w:autoSpaceDE w:val="0"/>
        <w:autoSpaceDN w:val="0"/>
        <w:adjustRightInd w:val="0"/>
        <w:spacing w:before="100" w:beforeAutospacing="1"/>
        <w:ind w:left="2520"/>
        <w:rPr>
          <w:rFonts w:eastAsia="Batang"/>
          <w:szCs w:val="24"/>
          <w:u w:val="single"/>
        </w:rPr>
      </w:pPr>
      <w:r w:rsidRPr="00266CDC">
        <w:rPr>
          <w:rFonts w:eastAsia="Batang"/>
          <w:szCs w:val="24"/>
          <w:u w:val="single"/>
        </w:rPr>
        <w:t>Where there is evidence suitable to the local enforcement agency substantiating that additional local utility infrastructure design requirements, directly related to the implementation of Section 5.106.5.3, may adversely impact the construction cost of the project.</w:t>
      </w:r>
    </w:p>
    <w:p w14:paraId="57219F34" w14:textId="77777777" w:rsidR="007449C6" w:rsidRPr="00266CDC" w:rsidRDefault="007449C6" w:rsidP="007A2BBA">
      <w:pPr>
        <w:numPr>
          <w:ilvl w:val="2"/>
          <w:numId w:val="8"/>
        </w:numPr>
        <w:autoSpaceDE w:val="0"/>
        <w:autoSpaceDN w:val="0"/>
        <w:adjustRightInd w:val="0"/>
        <w:spacing w:before="100" w:beforeAutospacing="1"/>
        <w:ind w:left="2520"/>
        <w:contextualSpacing/>
        <w:rPr>
          <w:rFonts w:eastAsia="Batang"/>
          <w:szCs w:val="24"/>
          <w:u w:val="single"/>
        </w:rPr>
      </w:pPr>
      <w:r w:rsidRPr="00266CDC">
        <w:rPr>
          <w:rFonts w:eastAsia="Batang"/>
          <w:szCs w:val="24"/>
          <w:u w:val="single"/>
        </w:rPr>
        <w:t>Where demonstrated as impracticable excluding local utility service or utility infrastructure issues.</w:t>
      </w:r>
    </w:p>
    <w:p w14:paraId="3FE58434" w14:textId="77777777" w:rsidR="007449C6" w:rsidRPr="00266CDC" w:rsidRDefault="007449C6" w:rsidP="007A2BBA">
      <w:pPr>
        <w:numPr>
          <w:ilvl w:val="0"/>
          <w:numId w:val="10"/>
        </w:numPr>
        <w:autoSpaceDE w:val="0"/>
        <w:autoSpaceDN w:val="0"/>
        <w:adjustRightInd w:val="0"/>
        <w:spacing w:before="100" w:beforeAutospacing="1"/>
        <w:ind w:left="1800"/>
        <w:rPr>
          <w:rFonts w:eastAsia="Batang"/>
          <w:szCs w:val="24"/>
          <w:u w:val="single"/>
        </w:rPr>
      </w:pPr>
      <w:r w:rsidRPr="00266CDC">
        <w:rPr>
          <w:rFonts w:eastAsia="Batang"/>
          <w:szCs w:val="24"/>
          <w:u w:val="single"/>
        </w:rPr>
        <w:t>Remote parking facilities that do not have access to the building service panel.</w:t>
      </w:r>
    </w:p>
    <w:p w14:paraId="630D9176" w14:textId="77777777" w:rsidR="007449C6" w:rsidRPr="00266CDC" w:rsidRDefault="007449C6" w:rsidP="003E54A5">
      <w:pPr>
        <w:numPr>
          <w:ilvl w:val="0"/>
          <w:numId w:val="10"/>
        </w:numPr>
        <w:autoSpaceDE w:val="0"/>
        <w:autoSpaceDN w:val="0"/>
        <w:adjustRightInd w:val="0"/>
        <w:spacing w:before="100" w:beforeAutospacing="1"/>
        <w:ind w:left="1800"/>
        <w:contextualSpacing/>
        <w:rPr>
          <w:rFonts w:eastAsia="Batang"/>
          <w:szCs w:val="24"/>
          <w:u w:val="single"/>
        </w:rPr>
      </w:pPr>
      <w:r w:rsidRPr="00266CDC">
        <w:rPr>
          <w:rFonts w:eastAsia="Batang"/>
          <w:szCs w:val="24"/>
          <w:u w:val="single"/>
        </w:rPr>
        <w:t>Parking area lighting upgrades where no trenching is part of the scope of work.</w:t>
      </w:r>
    </w:p>
    <w:p w14:paraId="1A923C27" w14:textId="77777777" w:rsidR="007449C6" w:rsidRPr="00266CDC" w:rsidRDefault="007449C6" w:rsidP="003E54A5">
      <w:pPr>
        <w:numPr>
          <w:ilvl w:val="0"/>
          <w:numId w:val="10"/>
        </w:numPr>
        <w:autoSpaceDE w:val="0"/>
        <w:autoSpaceDN w:val="0"/>
        <w:adjustRightInd w:val="0"/>
        <w:spacing w:before="100" w:beforeAutospacing="1"/>
        <w:ind w:left="1800"/>
        <w:contextualSpacing/>
        <w:rPr>
          <w:rFonts w:eastAsia="Batang"/>
          <w:szCs w:val="24"/>
          <w:u w:val="single"/>
        </w:rPr>
      </w:pPr>
      <w:r w:rsidRPr="00266CDC">
        <w:rPr>
          <w:rFonts w:eastAsia="Batang"/>
          <w:szCs w:val="24"/>
          <w:u w:val="single"/>
        </w:rPr>
        <w:t>Emergency repairs including but not limited to, water line break in parking facilities, natural disaster repairs, etc.</w:t>
      </w:r>
    </w:p>
    <w:p w14:paraId="771A674D" w14:textId="77777777" w:rsidR="007449C6" w:rsidRPr="00266CDC" w:rsidRDefault="007449C6" w:rsidP="007449C6">
      <w:pPr>
        <w:ind w:left="540"/>
        <w:contextualSpacing/>
        <w:rPr>
          <w:b/>
          <w:bCs/>
          <w:szCs w:val="24"/>
          <w:u w:val="single"/>
        </w:rPr>
      </w:pPr>
    </w:p>
    <w:p w14:paraId="4AF9EB95" w14:textId="77777777" w:rsidR="007449C6" w:rsidRPr="00266CDC" w:rsidRDefault="007449C6" w:rsidP="007449C6">
      <w:pPr>
        <w:ind w:left="547"/>
        <w:rPr>
          <w:szCs w:val="24"/>
          <w:u w:val="single"/>
        </w:rPr>
      </w:pPr>
      <w:r w:rsidRPr="00266CDC">
        <w:rPr>
          <w:b/>
          <w:bCs/>
          <w:szCs w:val="24"/>
          <w:u w:val="single"/>
        </w:rPr>
        <w:t>5.106.5.4.1 Existing buildings or parking areas without previously installed EV capable infrastructure [A].</w:t>
      </w:r>
      <w:r w:rsidRPr="00266CDC">
        <w:rPr>
          <w:u w:val="single"/>
        </w:rPr>
        <w:t xml:space="preserve"> </w:t>
      </w:r>
      <w:r w:rsidRPr="00266CDC">
        <w:rPr>
          <w:szCs w:val="24"/>
          <w:u w:val="single"/>
        </w:rPr>
        <w:t xml:space="preserve">When EV capable infrastructure does not exist at an existing parking facility or building, and the parking facility or building undergoes an addition or alteration listed in Section 5.106.5.4, </w:t>
      </w:r>
      <w:bookmarkStart w:id="7" w:name="_Hlk116651954"/>
      <w:r w:rsidRPr="00266CDC">
        <w:rPr>
          <w:szCs w:val="24"/>
          <w:u w:val="single"/>
        </w:rPr>
        <w:t>construction shall include electric vehicle charging in compliance with Section 5.106.5.3 for the total number of actual parking spaces being added or altered.</w:t>
      </w:r>
    </w:p>
    <w:p w14:paraId="70CFA1A5" w14:textId="77777777" w:rsidR="007449C6" w:rsidRPr="00266CDC" w:rsidRDefault="007449C6" w:rsidP="007449C6">
      <w:pPr>
        <w:ind w:left="547"/>
        <w:rPr>
          <w:szCs w:val="24"/>
          <w:u w:val="single"/>
        </w:rPr>
      </w:pPr>
    </w:p>
    <w:bookmarkEnd w:id="7"/>
    <w:p w14:paraId="68793412" w14:textId="77777777" w:rsidR="007449C6" w:rsidRPr="00266CDC" w:rsidRDefault="007449C6" w:rsidP="007449C6">
      <w:pPr>
        <w:ind w:left="547"/>
        <w:rPr>
          <w:u w:val="single"/>
        </w:rPr>
      </w:pPr>
      <w:r w:rsidRPr="00266CDC">
        <w:rPr>
          <w:b/>
          <w:bCs/>
          <w:u w:val="single"/>
        </w:rPr>
        <w:t xml:space="preserve">5.106.5.4.2 Existing buildings or parking areas with previously installed EV capable infrastructure [A]. </w:t>
      </w:r>
      <w:r w:rsidRPr="00266CDC">
        <w:rPr>
          <w:u w:val="single"/>
        </w:rPr>
        <w:t>When EV capable infrastructure is available at an existing parking facility or building, and the parking facility or building is undergoing an addition or alteration listed in Section 5.106.5.4, construction shall include electric vehicle charging in compliance with Section 5.106.5.3 utilizing the existing EV capable allocated power and infrastructure for the total number of actual parking spaces being added or altered. If the area being added or altered exceeds the existing EV capable capacity,</w:t>
      </w:r>
      <w:r w:rsidRPr="00266CDC">
        <w:t xml:space="preserve"> </w:t>
      </w:r>
      <w:r w:rsidRPr="00266CDC">
        <w:rPr>
          <w:u w:val="single"/>
        </w:rPr>
        <w:t xml:space="preserve">allocated power and infrastructure, provide additional EV charging as needed to comply with this section. </w:t>
      </w:r>
    </w:p>
    <w:p w14:paraId="0CCF7D92" w14:textId="77777777" w:rsidR="007449C6" w:rsidRPr="00266CDC" w:rsidRDefault="007449C6" w:rsidP="007449C6">
      <w:pPr>
        <w:ind w:left="547"/>
        <w:rPr>
          <w:u w:val="single"/>
        </w:rPr>
      </w:pPr>
    </w:p>
    <w:p w14:paraId="0F10F427" w14:textId="77777777" w:rsidR="007449C6" w:rsidRPr="00266CDC" w:rsidRDefault="007449C6" w:rsidP="007449C6">
      <w:pPr>
        <w:textAlignment w:val="baseline"/>
      </w:pPr>
      <w:r w:rsidRPr="00266CDC">
        <w:rPr>
          <w:b/>
          <w:bCs/>
          <w:szCs w:val="24"/>
        </w:rPr>
        <w:t>Section 5.106.5.5, previously numbered as Section 5.106.5.4 Electric vehicle (EV) charging: medium-duty and heavy-duty</w:t>
      </w:r>
      <w:r w:rsidRPr="00266CDC">
        <w:rPr>
          <w:szCs w:val="24"/>
        </w:rPr>
        <w:t xml:space="preserve">, </w:t>
      </w:r>
      <w:r w:rsidRPr="00266CDC">
        <w:t>is amended to read as follows:</w:t>
      </w:r>
    </w:p>
    <w:p w14:paraId="2285452F" w14:textId="77777777" w:rsidR="008969FA" w:rsidRPr="00266CDC" w:rsidRDefault="008969FA" w:rsidP="007449C6">
      <w:pPr>
        <w:textAlignment w:val="baseline"/>
      </w:pPr>
    </w:p>
    <w:p w14:paraId="187332CB" w14:textId="77777777" w:rsidR="007449C6" w:rsidRPr="00266CDC" w:rsidRDefault="007449C6" w:rsidP="007449C6">
      <w:pPr>
        <w:ind w:left="720"/>
        <w:rPr>
          <w:rFonts w:eastAsia="Batang"/>
        </w:rPr>
      </w:pPr>
      <w:r w:rsidRPr="00266CDC">
        <w:rPr>
          <w:rStyle w:val="StyleBold"/>
          <w:rFonts w:eastAsia="Batang"/>
        </w:rPr>
        <w:t>5.106.5.</w:t>
      </w:r>
      <w:r w:rsidRPr="00266CDC">
        <w:rPr>
          <w:rFonts w:eastAsia="Batang"/>
          <w:b/>
          <w:bCs/>
          <w:strike/>
        </w:rPr>
        <w:t xml:space="preserve"> 4 </w:t>
      </w:r>
      <w:r w:rsidRPr="00266CDC">
        <w:rPr>
          <w:rFonts w:eastAsia="Batang"/>
          <w:b/>
          <w:bCs/>
          <w:u w:val="single"/>
        </w:rPr>
        <w:t xml:space="preserve">5 </w:t>
      </w:r>
      <w:r w:rsidRPr="00266CDC">
        <w:rPr>
          <w:rStyle w:val="StyleBold"/>
          <w:rFonts w:eastAsia="Batang"/>
        </w:rPr>
        <w:t>Electric vehicle (EV) charging:</w:t>
      </w:r>
      <w:r w:rsidRPr="00266CDC">
        <w:rPr>
          <w:rFonts w:eastAsia="Batang"/>
        </w:rPr>
        <w:t xml:space="preserve"> </w:t>
      </w:r>
      <w:r w:rsidRPr="00266CDC">
        <w:rPr>
          <w:rStyle w:val="StyleBold"/>
          <w:rFonts w:eastAsia="Batang"/>
        </w:rPr>
        <w:t>medium-duty and heavy-duty. [N] [BSC-CG]</w:t>
      </w:r>
      <w:r w:rsidRPr="00266CDC">
        <w:rPr>
          <w:rFonts w:eastAsia="Batang"/>
        </w:rPr>
        <w:t xml:space="preserve"> </w:t>
      </w:r>
      <w:r w:rsidRPr="00266CDC">
        <w:rPr>
          <w:color w:val="000000"/>
          <w:szCs w:val="24"/>
        </w:rPr>
        <w:t>Construction shall comply with Section 5.106.5.</w:t>
      </w:r>
      <w:r w:rsidRPr="00266CDC">
        <w:rPr>
          <w:strike/>
          <w:color w:val="000000"/>
          <w:szCs w:val="24"/>
        </w:rPr>
        <w:t xml:space="preserve"> 4 </w:t>
      </w:r>
      <w:r w:rsidRPr="00266CDC">
        <w:rPr>
          <w:color w:val="000000"/>
          <w:szCs w:val="24"/>
          <w:u w:val="single"/>
        </w:rPr>
        <w:t>5</w:t>
      </w:r>
      <w:r w:rsidRPr="00266CDC">
        <w:rPr>
          <w:color w:val="000000"/>
          <w:szCs w:val="24"/>
        </w:rPr>
        <w:t xml:space="preserve">.1 to facilitate future installation of electric vehicle supply equipment (EVSE). Construction </w:t>
      </w:r>
      <w:r w:rsidRPr="00266CDC">
        <w:rPr>
          <w:szCs w:val="24"/>
        </w:rPr>
        <w:t>for warehouses, grocery stores, retail stores</w:t>
      </w:r>
      <w:r w:rsidRPr="00266CDC">
        <w:rPr>
          <w:szCs w:val="24"/>
          <w:u w:val="single"/>
        </w:rPr>
        <w:t>, office buildings, and manufacturing facilities</w:t>
      </w:r>
      <w:r w:rsidRPr="00266CDC">
        <w:rPr>
          <w:szCs w:val="24"/>
        </w:rPr>
        <w:t xml:space="preserve"> with </w:t>
      </w:r>
      <w:r w:rsidRPr="00266CDC">
        <w:rPr>
          <w:color w:val="000000"/>
          <w:szCs w:val="24"/>
        </w:rPr>
        <w:t>planned off-street loading spaces shall also comply with Section 5.106.5.</w:t>
      </w:r>
      <w:r w:rsidRPr="00266CDC">
        <w:rPr>
          <w:strike/>
          <w:color w:val="000000"/>
          <w:szCs w:val="24"/>
        </w:rPr>
        <w:t xml:space="preserve"> 4 </w:t>
      </w:r>
      <w:r w:rsidRPr="00266CDC">
        <w:rPr>
          <w:color w:val="000000"/>
          <w:szCs w:val="24"/>
          <w:u w:val="single"/>
        </w:rPr>
        <w:t>5</w:t>
      </w:r>
      <w:r w:rsidRPr="00266CDC">
        <w:rPr>
          <w:color w:val="000000"/>
          <w:szCs w:val="24"/>
        </w:rPr>
        <w:t xml:space="preserve">.1 for future installation of medium- and heavy-duty EVSE. </w:t>
      </w:r>
    </w:p>
    <w:p w14:paraId="1670592F" w14:textId="77777777" w:rsidR="007449C6" w:rsidRPr="00266CDC" w:rsidRDefault="007449C6" w:rsidP="007449C6">
      <w:pPr>
        <w:autoSpaceDE w:val="0"/>
        <w:autoSpaceDN w:val="0"/>
        <w:adjustRightInd w:val="0"/>
        <w:ind w:left="1440"/>
        <w:contextualSpacing/>
        <w:rPr>
          <w:rStyle w:val="StyleBold"/>
          <w:rFonts w:eastAsia="Batang"/>
        </w:rPr>
      </w:pPr>
      <w:r w:rsidRPr="00266CDC">
        <w:rPr>
          <w:rStyle w:val="StyleBold"/>
          <w:rFonts w:eastAsia="Batang"/>
        </w:rPr>
        <w:t xml:space="preserve">Exceptions: </w:t>
      </w:r>
    </w:p>
    <w:p w14:paraId="6F1A25D4" w14:textId="71502D73" w:rsidR="007449C6" w:rsidRPr="00266CDC" w:rsidRDefault="007449C6" w:rsidP="003E54A5">
      <w:pPr>
        <w:autoSpaceDE w:val="0"/>
        <w:autoSpaceDN w:val="0"/>
        <w:adjustRightInd w:val="0"/>
        <w:ind w:left="1800" w:hanging="360"/>
        <w:contextualSpacing/>
        <w:rPr>
          <w:rFonts w:eastAsia="Batang"/>
          <w:szCs w:val="24"/>
        </w:rPr>
      </w:pPr>
      <w:r w:rsidRPr="00266CDC">
        <w:rPr>
          <w:rFonts w:eastAsia="Batang"/>
          <w:szCs w:val="24"/>
        </w:rPr>
        <w:t>1</w:t>
      </w:r>
      <w:r w:rsidRPr="00266CDC">
        <w:rPr>
          <w:rStyle w:val="StyleBold"/>
          <w:rFonts w:eastAsia="Batang"/>
        </w:rPr>
        <w:t xml:space="preserve">. </w:t>
      </w:r>
      <w:r w:rsidR="003E54A5">
        <w:rPr>
          <w:rStyle w:val="StyleBold"/>
          <w:rFonts w:eastAsia="Batang"/>
        </w:rPr>
        <w:tab/>
      </w:r>
      <w:r w:rsidRPr="00266CDC">
        <w:rPr>
          <w:rFonts w:eastAsia="Batang"/>
          <w:szCs w:val="24"/>
        </w:rPr>
        <w:t>On a case-by-case basis where the local enforcing agency has determined compliance with this section is not feasible based upon one of the following conditions:</w:t>
      </w:r>
    </w:p>
    <w:p w14:paraId="592A3A56" w14:textId="77777777" w:rsidR="007449C6" w:rsidRPr="00266CDC" w:rsidRDefault="007449C6" w:rsidP="00AE7B84">
      <w:pPr>
        <w:widowControl w:val="0"/>
        <w:numPr>
          <w:ilvl w:val="0"/>
          <w:numId w:val="12"/>
        </w:numPr>
        <w:autoSpaceDE w:val="0"/>
        <w:autoSpaceDN w:val="0"/>
        <w:adjustRightInd w:val="0"/>
        <w:spacing w:before="100" w:beforeAutospacing="1"/>
        <w:ind w:left="2880"/>
        <w:contextualSpacing/>
        <w:rPr>
          <w:rFonts w:eastAsia="Batang"/>
          <w:szCs w:val="24"/>
        </w:rPr>
      </w:pPr>
      <w:r w:rsidRPr="00266CDC">
        <w:rPr>
          <w:rFonts w:eastAsia="Batang"/>
          <w:szCs w:val="24"/>
        </w:rPr>
        <w:t>Where there is no local utility power supply.</w:t>
      </w:r>
    </w:p>
    <w:p w14:paraId="440CED0D" w14:textId="77777777" w:rsidR="007449C6" w:rsidRPr="00266CDC" w:rsidRDefault="007449C6" w:rsidP="00AE7B84">
      <w:pPr>
        <w:widowControl w:val="0"/>
        <w:numPr>
          <w:ilvl w:val="0"/>
          <w:numId w:val="12"/>
        </w:numPr>
        <w:autoSpaceDE w:val="0"/>
        <w:autoSpaceDN w:val="0"/>
        <w:adjustRightInd w:val="0"/>
        <w:spacing w:before="100" w:beforeAutospacing="1"/>
        <w:ind w:left="2880"/>
        <w:contextualSpacing/>
        <w:rPr>
          <w:rFonts w:eastAsia="Batang"/>
          <w:szCs w:val="24"/>
        </w:rPr>
      </w:pPr>
      <w:r w:rsidRPr="00266CDC">
        <w:rPr>
          <w:rFonts w:eastAsia="Batang"/>
          <w:szCs w:val="24"/>
        </w:rPr>
        <w:t>Where the local utility is unable to supply adequate power.</w:t>
      </w:r>
    </w:p>
    <w:p w14:paraId="3EEEF692" w14:textId="77777777" w:rsidR="007449C6" w:rsidRPr="00266CDC" w:rsidRDefault="007449C6" w:rsidP="00AE7B84">
      <w:pPr>
        <w:widowControl w:val="0"/>
        <w:numPr>
          <w:ilvl w:val="0"/>
          <w:numId w:val="12"/>
        </w:numPr>
        <w:autoSpaceDE w:val="0"/>
        <w:autoSpaceDN w:val="0"/>
        <w:adjustRightInd w:val="0"/>
        <w:spacing w:before="100" w:beforeAutospacing="1"/>
        <w:ind w:left="2880"/>
        <w:contextualSpacing/>
        <w:rPr>
          <w:rFonts w:eastAsia="Batang"/>
          <w:szCs w:val="24"/>
        </w:rPr>
      </w:pPr>
      <w:r w:rsidRPr="00266CDC">
        <w:rPr>
          <w:rFonts w:eastAsia="Batang"/>
          <w:szCs w:val="24"/>
        </w:rPr>
        <w:t>Where there is evidence suitable to the local enforcing agency substantiating that additional local utility infrastructure design requirements, directly related to the implementation of Section 5.106.5.3, may adversely impact the construction cost of the project.</w:t>
      </w:r>
    </w:p>
    <w:p w14:paraId="707619A0" w14:textId="77777777" w:rsidR="007449C6" w:rsidRPr="00266CDC" w:rsidRDefault="007449C6" w:rsidP="007449C6">
      <w:pPr>
        <w:autoSpaceDE w:val="0"/>
        <w:autoSpaceDN w:val="0"/>
        <w:adjustRightInd w:val="0"/>
        <w:ind w:left="720"/>
        <w:rPr>
          <w:color w:val="000000"/>
          <w:szCs w:val="24"/>
        </w:rPr>
      </w:pPr>
    </w:p>
    <w:p w14:paraId="7DC2001D" w14:textId="77777777" w:rsidR="007449C6" w:rsidRPr="00266CDC" w:rsidRDefault="007449C6" w:rsidP="007449C6">
      <w:pPr>
        <w:autoSpaceDE w:val="0"/>
        <w:autoSpaceDN w:val="0"/>
        <w:adjustRightInd w:val="0"/>
        <w:ind w:left="720"/>
        <w:rPr>
          <w:color w:val="000000"/>
          <w:szCs w:val="24"/>
        </w:rPr>
      </w:pPr>
      <w:r w:rsidRPr="00266CDC">
        <w:rPr>
          <w:color w:val="000000"/>
          <w:szCs w:val="24"/>
        </w:rPr>
        <w:t xml:space="preserve">When EVSE(s) is/are installed, it shall be in accordance with the </w:t>
      </w:r>
      <w:r w:rsidRPr="00266CDC">
        <w:rPr>
          <w:i/>
          <w:iCs/>
          <w:color w:val="000000"/>
          <w:szCs w:val="24"/>
        </w:rPr>
        <w:t xml:space="preserve">California Building Code, </w:t>
      </w:r>
      <w:r w:rsidRPr="00266CDC">
        <w:rPr>
          <w:color w:val="000000"/>
          <w:szCs w:val="24"/>
        </w:rPr>
        <w:t xml:space="preserve">the </w:t>
      </w:r>
      <w:r w:rsidRPr="00266CDC">
        <w:rPr>
          <w:i/>
          <w:iCs/>
          <w:color w:val="000000"/>
          <w:szCs w:val="24"/>
        </w:rPr>
        <w:t xml:space="preserve">California Electrical Code </w:t>
      </w:r>
      <w:r w:rsidRPr="00266CDC">
        <w:rPr>
          <w:color w:val="000000"/>
          <w:szCs w:val="24"/>
        </w:rPr>
        <w:t>and as follows:</w:t>
      </w:r>
    </w:p>
    <w:p w14:paraId="168B5572" w14:textId="77777777" w:rsidR="007449C6" w:rsidRPr="00266CDC" w:rsidRDefault="007449C6" w:rsidP="007449C6">
      <w:pPr>
        <w:autoSpaceDE w:val="0"/>
        <w:autoSpaceDN w:val="0"/>
        <w:adjustRightInd w:val="0"/>
        <w:ind w:left="720"/>
        <w:rPr>
          <w:rFonts w:eastAsia="Batang"/>
          <w:szCs w:val="24"/>
        </w:rPr>
      </w:pPr>
    </w:p>
    <w:p w14:paraId="7A59A218" w14:textId="77777777" w:rsidR="007449C6" w:rsidRPr="00266CDC" w:rsidRDefault="007449C6" w:rsidP="007449C6">
      <w:pPr>
        <w:autoSpaceDE w:val="0"/>
        <w:autoSpaceDN w:val="0"/>
        <w:adjustRightInd w:val="0"/>
        <w:ind w:left="720"/>
        <w:rPr>
          <w:color w:val="000000"/>
          <w:szCs w:val="24"/>
        </w:rPr>
      </w:pPr>
      <w:r w:rsidRPr="00266CDC">
        <w:rPr>
          <w:b/>
          <w:bCs/>
          <w:color w:val="000000"/>
          <w:szCs w:val="24"/>
        </w:rPr>
        <w:t>5.106.5.</w:t>
      </w:r>
      <w:r w:rsidRPr="00266CDC">
        <w:rPr>
          <w:b/>
          <w:bCs/>
          <w:strike/>
          <w:color w:val="000000"/>
          <w:szCs w:val="24"/>
        </w:rPr>
        <w:t xml:space="preserve"> 4 </w:t>
      </w:r>
      <w:r w:rsidRPr="00266CDC">
        <w:rPr>
          <w:b/>
          <w:bCs/>
          <w:color w:val="000000"/>
          <w:szCs w:val="24"/>
          <w:u w:val="single"/>
        </w:rPr>
        <w:t>5</w:t>
      </w:r>
      <w:r w:rsidRPr="00266CDC">
        <w:rPr>
          <w:b/>
          <w:bCs/>
          <w:color w:val="000000"/>
          <w:szCs w:val="24"/>
        </w:rPr>
        <w:t xml:space="preserve">.1 </w:t>
      </w:r>
      <w:bookmarkStart w:id="8" w:name="_Hlk116651464"/>
      <w:r w:rsidRPr="00266CDC">
        <w:rPr>
          <w:b/>
          <w:bCs/>
          <w:color w:val="000000"/>
          <w:szCs w:val="24"/>
        </w:rPr>
        <w:t>Electric vehicle charging readiness requirements for warehouses, grocery stores and retail stores,</w:t>
      </w:r>
      <w:r w:rsidRPr="00266CDC">
        <w:t xml:space="preserve"> </w:t>
      </w:r>
      <w:r w:rsidRPr="00266CDC">
        <w:rPr>
          <w:b/>
          <w:bCs/>
          <w:color w:val="000000"/>
          <w:szCs w:val="24"/>
          <w:u w:val="single"/>
        </w:rPr>
        <w:t>office buildings, and manufacturing facilities</w:t>
      </w:r>
      <w:r w:rsidRPr="00266CDC">
        <w:rPr>
          <w:b/>
          <w:bCs/>
          <w:color w:val="000000"/>
          <w:szCs w:val="24"/>
        </w:rPr>
        <w:t xml:space="preserve"> with planned off-street loading spaces [N] </w:t>
      </w:r>
      <w:bookmarkEnd w:id="8"/>
    </w:p>
    <w:p w14:paraId="5BAC6EF3" w14:textId="77777777" w:rsidR="007449C6" w:rsidRPr="00266CDC" w:rsidRDefault="007449C6" w:rsidP="007449C6">
      <w:pPr>
        <w:autoSpaceDE w:val="0"/>
        <w:autoSpaceDN w:val="0"/>
        <w:adjustRightInd w:val="0"/>
        <w:ind w:left="720"/>
        <w:rPr>
          <w:color w:val="000000"/>
          <w:szCs w:val="24"/>
        </w:rPr>
      </w:pPr>
      <w:r w:rsidRPr="00266CDC">
        <w:rPr>
          <w:color w:val="000000"/>
          <w:szCs w:val="24"/>
        </w:rPr>
        <w:t xml:space="preserve">In order to avoid future demolition when adding EV supply and distribution equipment, spare raceway(s) or busway(s) and adequate capacity for transformer(s), service panel(s) or subpanel(s) shall be installed at the time of construction in accordance with the </w:t>
      </w:r>
      <w:r w:rsidRPr="00266CDC">
        <w:rPr>
          <w:i/>
          <w:iCs/>
          <w:color w:val="000000"/>
          <w:szCs w:val="24"/>
        </w:rPr>
        <w:t>California Electrical Code</w:t>
      </w:r>
      <w:r w:rsidRPr="00266CDC">
        <w:rPr>
          <w:color w:val="000000"/>
          <w:szCs w:val="24"/>
        </w:rPr>
        <w:t>. Construction plans and specifications shall include, but are not limited to, the following:</w:t>
      </w:r>
    </w:p>
    <w:p w14:paraId="0129406A" w14:textId="77777777" w:rsidR="007449C6" w:rsidRPr="00266CDC" w:rsidRDefault="007449C6" w:rsidP="00AE7B84">
      <w:pPr>
        <w:numPr>
          <w:ilvl w:val="0"/>
          <w:numId w:val="11"/>
        </w:numPr>
        <w:tabs>
          <w:tab w:val="clear" w:pos="720"/>
          <w:tab w:val="num" w:pos="1440"/>
        </w:tabs>
        <w:spacing w:before="100" w:beforeAutospacing="1"/>
        <w:ind w:left="1440"/>
        <w:rPr>
          <w:noProof/>
          <w:szCs w:val="24"/>
        </w:rPr>
      </w:pPr>
      <w:r w:rsidRPr="00266CDC">
        <w:rPr>
          <w:noProof/>
          <w:szCs w:val="24"/>
        </w:rPr>
        <w:t>The transformer, main service equipment and subpanels shall meet the minimum power requirement in Table 5.106.5.</w:t>
      </w:r>
      <w:r w:rsidRPr="00266CDC">
        <w:rPr>
          <w:strike/>
          <w:noProof/>
          <w:szCs w:val="24"/>
        </w:rPr>
        <w:t xml:space="preserve"> 4 </w:t>
      </w:r>
      <w:r w:rsidRPr="00266CDC">
        <w:rPr>
          <w:noProof/>
          <w:szCs w:val="24"/>
          <w:u w:val="single"/>
        </w:rPr>
        <w:t>5</w:t>
      </w:r>
      <w:r w:rsidRPr="00266CDC">
        <w:rPr>
          <w:noProof/>
          <w:szCs w:val="24"/>
        </w:rPr>
        <w:t xml:space="preserve">.1 to accommodate the dedicated branch circuits for the future installation of EVSE. </w:t>
      </w:r>
    </w:p>
    <w:p w14:paraId="2698D7B5" w14:textId="77777777" w:rsidR="007449C6" w:rsidRPr="00266CDC" w:rsidRDefault="007449C6" w:rsidP="00AE7B84">
      <w:pPr>
        <w:numPr>
          <w:ilvl w:val="0"/>
          <w:numId w:val="11"/>
        </w:numPr>
        <w:tabs>
          <w:tab w:val="clear" w:pos="720"/>
          <w:tab w:val="num" w:pos="1440"/>
        </w:tabs>
        <w:spacing w:before="100" w:beforeAutospacing="1"/>
        <w:ind w:left="1440"/>
        <w:rPr>
          <w:noProof/>
          <w:szCs w:val="24"/>
        </w:rPr>
      </w:pPr>
      <w:r w:rsidRPr="00266CDC">
        <w:rPr>
          <w:noProof/>
          <w:szCs w:val="24"/>
        </w:rPr>
        <w:t>The construction documents shall indicate one or more location(s) convenient to the planned off-street loading space(s) reserved for medium- and heavy-duty ZEV charging cabinets and charging dispensers, and a pathway reserved for routing of conduit from the termination of the raceway(s) or busway(s) to the charging cabinet(s) and dispenser(s), as shown in Table 5.106.5.</w:t>
      </w:r>
      <w:r w:rsidRPr="00266CDC">
        <w:rPr>
          <w:strike/>
          <w:noProof/>
          <w:szCs w:val="24"/>
        </w:rPr>
        <w:t xml:space="preserve"> 4 </w:t>
      </w:r>
      <w:r w:rsidRPr="00266CDC">
        <w:rPr>
          <w:noProof/>
          <w:szCs w:val="24"/>
          <w:u w:val="single"/>
        </w:rPr>
        <w:t>5</w:t>
      </w:r>
      <w:r w:rsidRPr="00266CDC">
        <w:rPr>
          <w:noProof/>
          <w:szCs w:val="24"/>
        </w:rPr>
        <w:t xml:space="preserve">.1. </w:t>
      </w:r>
    </w:p>
    <w:p w14:paraId="5098133F" w14:textId="77777777" w:rsidR="007449C6" w:rsidRPr="00266CDC" w:rsidRDefault="007449C6" w:rsidP="00AE7B84">
      <w:pPr>
        <w:numPr>
          <w:ilvl w:val="0"/>
          <w:numId w:val="11"/>
        </w:numPr>
        <w:tabs>
          <w:tab w:val="clear" w:pos="720"/>
          <w:tab w:val="num" w:pos="1440"/>
        </w:tabs>
        <w:spacing w:before="100" w:beforeAutospacing="1"/>
        <w:ind w:left="1440"/>
        <w:rPr>
          <w:szCs w:val="24"/>
        </w:rPr>
      </w:pPr>
      <w:r w:rsidRPr="00266CDC">
        <w:rPr>
          <w:szCs w:val="24"/>
        </w:rPr>
        <w:t>Raceway(s) or busway(s) originating at a main service panel or a subpanel(s) serving the area where potential future medium- and heavy-duty EVSE will be located and shall terminate in close proximity to the potential future location of the charging equipment for medium- and heavy-duty vehicles.</w:t>
      </w:r>
    </w:p>
    <w:p w14:paraId="75272AB8" w14:textId="77777777" w:rsidR="007449C6" w:rsidRPr="00266CDC" w:rsidRDefault="007449C6" w:rsidP="00AE7B84">
      <w:pPr>
        <w:numPr>
          <w:ilvl w:val="0"/>
          <w:numId w:val="11"/>
        </w:numPr>
        <w:tabs>
          <w:tab w:val="clear" w:pos="720"/>
          <w:tab w:val="num" w:pos="1440"/>
        </w:tabs>
        <w:spacing w:before="100" w:beforeAutospacing="1"/>
        <w:ind w:left="1440"/>
        <w:rPr>
          <w:noProof/>
          <w:szCs w:val="24"/>
        </w:rPr>
      </w:pPr>
      <w:r w:rsidRPr="00266CDC">
        <w:rPr>
          <w:noProof/>
          <w:szCs w:val="24"/>
        </w:rPr>
        <w:t>The raceway(s) or busway(s) shall be of sufficient size to carry the minimum additional system load to the future location of the charging for medium- and heavy-duty ZEVs as shown in Table 5.106.5.</w:t>
      </w:r>
      <w:r w:rsidRPr="00266CDC">
        <w:rPr>
          <w:strike/>
          <w:noProof/>
          <w:szCs w:val="24"/>
        </w:rPr>
        <w:t xml:space="preserve"> 4 </w:t>
      </w:r>
      <w:r w:rsidRPr="00266CDC">
        <w:rPr>
          <w:noProof/>
          <w:szCs w:val="24"/>
          <w:u w:val="single"/>
        </w:rPr>
        <w:t>5</w:t>
      </w:r>
      <w:r w:rsidRPr="00266CDC">
        <w:rPr>
          <w:noProof/>
          <w:szCs w:val="24"/>
        </w:rPr>
        <w:t>.1.</w:t>
      </w:r>
    </w:p>
    <w:p w14:paraId="7A9EBA4B" w14:textId="77777777" w:rsidR="007449C6" w:rsidRPr="00266CDC" w:rsidRDefault="007449C6" w:rsidP="007449C6">
      <w:pPr>
        <w:ind w:left="720"/>
        <w:jc w:val="center"/>
        <w:rPr>
          <w:b/>
          <w:noProof/>
          <w:sz w:val="22"/>
        </w:rPr>
      </w:pPr>
      <w:r w:rsidRPr="00266CDC">
        <w:rPr>
          <w:rStyle w:val="StyleBold"/>
          <w:rFonts w:eastAsia="ヒラギノ角ゴ Pro W3"/>
        </w:rPr>
        <w:br w:type="page"/>
        <w:t>TABLE 5.106.5.</w:t>
      </w:r>
      <w:r w:rsidRPr="00266CDC">
        <w:rPr>
          <w:b/>
          <w:strike/>
          <w:noProof/>
          <w:szCs w:val="24"/>
        </w:rPr>
        <w:t xml:space="preserve"> 4 </w:t>
      </w:r>
      <w:r w:rsidRPr="00266CDC">
        <w:rPr>
          <w:b/>
          <w:noProof/>
          <w:szCs w:val="24"/>
          <w:u w:val="single"/>
        </w:rPr>
        <w:t>5</w:t>
      </w:r>
      <w:r w:rsidRPr="00266CDC">
        <w:rPr>
          <w:rStyle w:val="StyleBold"/>
          <w:rFonts w:eastAsia="ヒラギノ角ゴ Pro W3"/>
        </w:rPr>
        <w:t xml:space="preserve">.1, </w:t>
      </w:r>
      <w:r w:rsidRPr="00266CDC">
        <w:rPr>
          <w:b/>
          <w:noProof/>
          <w:sz w:val="22"/>
        </w:rPr>
        <w:t xml:space="preserve">RACEWAY CONDUIT AND PANEL </w:t>
      </w:r>
    </w:p>
    <w:p w14:paraId="365DCD5A" w14:textId="77777777" w:rsidR="007449C6" w:rsidRDefault="007449C6" w:rsidP="007449C6">
      <w:pPr>
        <w:ind w:left="720"/>
        <w:jc w:val="center"/>
        <w:rPr>
          <w:b/>
          <w:noProof/>
          <w:sz w:val="22"/>
        </w:rPr>
      </w:pPr>
      <w:r w:rsidRPr="00266CDC">
        <w:rPr>
          <w:b/>
          <w:noProof/>
          <w:sz w:val="22"/>
        </w:rPr>
        <w:t>POWER REQUIREMENTS FOR MEDIUM-AND-HEAVY-DUTY EVSE [N]</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736"/>
        <w:gridCol w:w="2032"/>
        <w:gridCol w:w="2240"/>
        <w:gridCol w:w="2154"/>
      </w:tblGrid>
      <w:tr w:rsidR="00387C64" w:rsidRPr="006D5F97" w14:paraId="0E65C8BD" w14:textId="77777777" w:rsidTr="009506EF">
        <w:trPr>
          <w:cantSplit/>
          <w:tblHeader/>
        </w:trPr>
        <w:tc>
          <w:tcPr>
            <w:tcW w:w="1737" w:type="dxa"/>
            <w:tcBorders>
              <w:bottom w:val="single" w:sz="4" w:space="0" w:color="auto"/>
            </w:tcBorders>
            <w:shd w:val="clear" w:color="auto" w:fill="auto"/>
          </w:tcPr>
          <w:p w14:paraId="66D80C54" w14:textId="77777777" w:rsidR="00387C64" w:rsidRPr="00245663" w:rsidRDefault="00387C64" w:rsidP="009506EF">
            <w:pPr>
              <w:jc w:val="center"/>
              <w:rPr>
                <w:rFonts w:cs="Arial"/>
                <w:bCs/>
                <w:noProof/>
                <w:szCs w:val="24"/>
              </w:rPr>
            </w:pPr>
            <w:r w:rsidRPr="00245663">
              <w:rPr>
                <w:rFonts w:cs="Arial"/>
                <w:bCs/>
                <w:noProof/>
                <w:szCs w:val="24"/>
              </w:rPr>
              <w:t>Building type</w:t>
            </w:r>
          </w:p>
        </w:tc>
        <w:tc>
          <w:tcPr>
            <w:tcW w:w="2040" w:type="dxa"/>
            <w:tcBorders>
              <w:bottom w:val="single" w:sz="4" w:space="0" w:color="auto"/>
            </w:tcBorders>
            <w:shd w:val="clear" w:color="auto" w:fill="auto"/>
          </w:tcPr>
          <w:p w14:paraId="095DF27F" w14:textId="77777777" w:rsidR="00387C64" w:rsidRPr="00245663" w:rsidRDefault="00387C64" w:rsidP="009506EF">
            <w:pPr>
              <w:jc w:val="center"/>
              <w:rPr>
                <w:rFonts w:cs="Arial"/>
                <w:bCs/>
                <w:noProof/>
                <w:szCs w:val="24"/>
              </w:rPr>
            </w:pPr>
            <w:r w:rsidRPr="00245663">
              <w:rPr>
                <w:rFonts w:cs="Arial"/>
                <w:bCs/>
                <w:noProof/>
                <w:szCs w:val="24"/>
              </w:rPr>
              <w:t>Building Size</w:t>
            </w:r>
            <w:r w:rsidRPr="00245663">
              <w:rPr>
                <w:rFonts w:cs="Arial"/>
                <w:bCs/>
                <w:noProof/>
                <w:szCs w:val="24"/>
              </w:rPr>
              <w:br/>
              <w:t>(sq. ft.)</w:t>
            </w:r>
          </w:p>
        </w:tc>
        <w:tc>
          <w:tcPr>
            <w:tcW w:w="2250" w:type="dxa"/>
            <w:shd w:val="clear" w:color="auto" w:fill="auto"/>
          </w:tcPr>
          <w:p w14:paraId="742CAEE7" w14:textId="77777777" w:rsidR="00387C64" w:rsidRPr="00245663" w:rsidRDefault="00387C64" w:rsidP="009506EF">
            <w:pPr>
              <w:jc w:val="center"/>
              <w:rPr>
                <w:rFonts w:cs="Arial"/>
                <w:bCs/>
                <w:noProof/>
                <w:szCs w:val="24"/>
              </w:rPr>
            </w:pPr>
            <w:r w:rsidRPr="00245663">
              <w:rPr>
                <w:rFonts w:cs="Arial"/>
                <w:bCs/>
                <w:noProof/>
                <w:szCs w:val="24"/>
              </w:rPr>
              <w:t>Number of Off-street loading spaces</w:t>
            </w:r>
          </w:p>
        </w:tc>
        <w:tc>
          <w:tcPr>
            <w:tcW w:w="2160" w:type="dxa"/>
            <w:shd w:val="clear" w:color="auto" w:fill="auto"/>
          </w:tcPr>
          <w:p w14:paraId="713EB9AB" w14:textId="70E6E9DA" w:rsidR="00387C64" w:rsidRPr="00245663" w:rsidRDefault="00387C64" w:rsidP="009506EF">
            <w:pPr>
              <w:jc w:val="center"/>
              <w:rPr>
                <w:rFonts w:cs="Arial"/>
                <w:b/>
                <w:noProof/>
                <w:szCs w:val="24"/>
              </w:rPr>
            </w:pPr>
            <w:r w:rsidRPr="00245663">
              <w:rPr>
                <w:rFonts w:cs="Arial"/>
                <w:bCs/>
                <w:szCs w:val="24"/>
              </w:rPr>
              <w:t>Additional capacity Required (kV</w:t>
            </w:r>
            <w:r w:rsidR="00905939">
              <w:rPr>
                <w:rFonts w:cs="Arial"/>
                <w:bCs/>
                <w:szCs w:val="24"/>
              </w:rPr>
              <w:t>A</w:t>
            </w:r>
            <w:r w:rsidRPr="00245663">
              <w:rPr>
                <w:rFonts w:cs="Arial"/>
                <w:bCs/>
                <w:szCs w:val="24"/>
              </w:rPr>
              <w:t>) for Raceway &amp; Busway and Transformer &amp; Panel</w:t>
            </w:r>
          </w:p>
        </w:tc>
      </w:tr>
      <w:tr w:rsidR="00387C64" w:rsidRPr="006D5F97" w14:paraId="6BC729B6" w14:textId="77777777" w:rsidTr="009506EF">
        <w:trPr>
          <w:cantSplit/>
          <w:trHeight w:val="188"/>
          <w:tblHeader/>
        </w:trPr>
        <w:tc>
          <w:tcPr>
            <w:tcW w:w="1737" w:type="dxa"/>
            <w:vMerge w:val="restart"/>
            <w:shd w:val="clear" w:color="auto" w:fill="auto"/>
          </w:tcPr>
          <w:p w14:paraId="71D2B8A0" w14:textId="77777777" w:rsidR="00387C64" w:rsidRPr="00245663" w:rsidRDefault="00387C64" w:rsidP="009506EF">
            <w:pPr>
              <w:jc w:val="center"/>
              <w:rPr>
                <w:rFonts w:cs="Arial"/>
                <w:bCs/>
                <w:noProof/>
                <w:szCs w:val="24"/>
              </w:rPr>
            </w:pPr>
            <w:r w:rsidRPr="00245663">
              <w:rPr>
                <w:rFonts w:cs="Arial"/>
                <w:bCs/>
                <w:noProof/>
                <w:szCs w:val="24"/>
              </w:rPr>
              <w:t>Grocery</w:t>
            </w:r>
          </w:p>
        </w:tc>
        <w:tc>
          <w:tcPr>
            <w:tcW w:w="2040" w:type="dxa"/>
            <w:vMerge w:val="restart"/>
            <w:shd w:val="clear" w:color="auto" w:fill="auto"/>
          </w:tcPr>
          <w:p w14:paraId="3C01B448" w14:textId="77777777" w:rsidR="00387C64" w:rsidRPr="00245663" w:rsidRDefault="00387C64" w:rsidP="009506EF">
            <w:pPr>
              <w:jc w:val="center"/>
              <w:rPr>
                <w:rFonts w:cs="Arial"/>
                <w:bCs/>
                <w:noProof/>
                <w:szCs w:val="24"/>
              </w:rPr>
            </w:pPr>
            <w:r w:rsidRPr="00245663">
              <w:rPr>
                <w:rFonts w:cs="Arial"/>
                <w:bCs/>
                <w:noProof/>
                <w:szCs w:val="24"/>
              </w:rPr>
              <w:t>10,000 to 90,000</w:t>
            </w:r>
          </w:p>
        </w:tc>
        <w:tc>
          <w:tcPr>
            <w:tcW w:w="2250" w:type="dxa"/>
            <w:shd w:val="clear" w:color="auto" w:fill="auto"/>
            <w:vAlign w:val="center"/>
          </w:tcPr>
          <w:p w14:paraId="286E0633" w14:textId="77777777" w:rsidR="00387C64" w:rsidRPr="00245663" w:rsidRDefault="00387C64" w:rsidP="009506EF">
            <w:pPr>
              <w:jc w:val="center"/>
              <w:rPr>
                <w:rFonts w:cs="Arial"/>
                <w:bCs/>
                <w:noProof/>
                <w:szCs w:val="24"/>
              </w:rPr>
            </w:pPr>
            <w:r w:rsidRPr="00245663">
              <w:rPr>
                <w:rFonts w:cs="Arial"/>
                <w:bCs/>
                <w:noProof/>
                <w:szCs w:val="24"/>
              </w:rPr>
              <w:t>1 or 2</w:t>
            </w:r>
          </w:p>
        </w:tc>
        <w:tc>
          <w:tcPr>
            <w:tcW w:w="2160" w:type="dxa"/>
            <w:shd w:val="clear" w:color="auto" w:fill="auto"/>
            <w:vAlign w:val="center"/>
          </w:tcPr>
          <w:p w14:paraId="1FF0966A" w14:textId="77777777" w:rsidR="00387C64" w:rsidRPr="00245663" w:rsidRDefault="00387C64" w:rsidP="009506EF">
            <w:pPr>
              <w:jc w:val="center"/>
              <w:rPr>
                <w:rFonts w:cs="Arial"/>
                <w:bCs/>
                <w:noProof/>
                <w:szCs w:val="24"/>
              </w:rPr>
            </w:pPr>
            <w:r w:rsidRPr="00245663">
              <w:rPr>
                <w:rFonts w:cs="Arial"/>
                <w:bCs/>
                <w:noProof/>
                <w:szCs w:val="24"/>
              </w:rPr>
              <w:t>200</w:t>
            </w:r>
          </w:p>
        </w:tc>
      </w:tr>
      <w:tr w:rsidR="00387C64" w:rsidRPr="006D5F97" w14:paraId="6C76503E" w14:textId="77777777" w:rsidTr="009506EF">
        <w:trPr>
          <w:cantSplit/>
          <w:trHeight w:val="188"/>
          <w:tblHeader/>
        </w:trPr>
        <w:tc>
          <w:tcPr>
            <w:tcW w:w="1737" w:type="dxa"/>
            <w:vMerge/>
            <w:shd w:val="clear" w:color="auto" w:fill="auto"/>
          </w:tcPr>
          <w:p w14:paraId="529816B7" w14:textId="77777777" w:rsidR="00387C64" w:rsidRPr="00245663" w:rsidRDefault="00387C64" w:rsidP="009506EF">
            <w:pPr>
              <w:jc w:val="center"/>
              <w:rPr>
                <w:rFonts w:cs="Arial"/>
                <w:bCs/>
                <w:noProof/>
                <w:szCs w:val="24"/>
              </w:rPr>
            </w:pPr>
          </w:p>
        </w:tc>
        <w:tc>
          <w:tcPr>
            <w:tcW w:w="2040" w:type="dxa"/>
            <w:vMerge/>
            <w:tcBorders>
              <w:bottom w:val="nil"/>
            </w:tcBorders>
            <w:shd w:val="clear" w:color="auto" w:fill="auto"/>
          </w:tcPr>
          <w:p w14:paraId="2FAC3E07" w14:textId="77777777" w:rsidR="00387C64" w:rsidRPr="00245663" w:rsidRDefault="00387C64" w:rsidP="009506EF">
            <w:pPr>
              <w:jc w:val="center"/>
              <w:rPr>
                <w:rFonts w:cs="Arial"/>
                <w:bCs/>
                <w:noProof/>
                <w:szCs w:val="24"/>
              </w:rPr>
            </w:pPr>
          </w:p>
        </w:tc>
        <w:tc>
          <w:tcPr>
            <w:tcW w:w="2250" w:type="dxa"/>
            <w:shd w:val="clear" w:color="auto" w:fill="auto"/>
            <w:vAlign w:val="center"/>
          </w:tcPr>
          <w:p w14:paraId="7DD45A52" w14:textId="77777777" w:rsidR="00387C64" w:rsidRPr="00245663" w:rsidRDefault="00387C64" w:rsidP="009506EF">
            <w:pPr>
              <w:jc w:val="center"/>
              <w:rPr>
                <w:rFonts w:cs="Arial"/>
                <w:bCs/>
                <w:noProof/>
                <w:szCs w:val="24"/>
              </w:rPr>
            </w:pPr>
            <w:r w:rsidRPr="00245663">
              <w:rPr>
                <w:rFonts w:cs="Arial"/>
                <w:bCs/>
                <w:noProof/>
                <w:szCs w:val="24"/>
              </w:rPr>
              <w:t>3 or Greater</w:t>
            </w:r>
          </w:p>
        </w:tc>
        <w:tc>
          <w:tcPr>
            <w:tcW w:w="2160" w:type="dxa"/>
            <w:shd w:val="clear" w:color="auto" w:fill="auto"/>
            <w:vAlign w:val="center"/>
          </w:tcPr>
          <w:p w14:paraId="5699FC71" w14:textId="77777777" w:rsidR="00387C64" w:rsidRPr="00245663" w:rsidRDefault="00387C64" w:rsidP="009506EF">
            <w:pPr>
              <w:jc w:val="center"/>
              <w:rPr>
                <w:rFonts w:cs="Arial"/>
                <w:bCs/>
                <w:noProof/>
                <w:szCs w:val="24"/>
              </w:rPr>
            </w:pPr>
            <w:r w:rsidRPr="00245663">
              <w:rPr>
                <w:rFonts w:cs="Arial"/>
                <w:bCs/>
                <w:noProof/>
                <w:szCs w:val="24"/>
              </w:rPr>
              <w:t>400</w:t>
            </w:r>
          </w:p>
        </w:tc>
      </w:tr>
      <w:tr w:rsidR="00387C64" w:rsidRPr="006D5F97" w14:paraId="3B7987A0" w14:textId="77777777" w:rsidTr="009506EF">
        <w:trPr>
          <w:cantSplit/>
          <w:trHeight w:val="188"/>
          <w:tblHeader/>
        </w:trPr>
        <w:tc>
          <w:tcPr>
            <w:tcW w:w="1737" w:type="dxa"/>
            <w:vMerge/>
            <w:tcBorders>
              <w:bottom w:val="nil"/>
            </w:tcBorders>
            <w:shd w:val="clear" w:color="auto" w:fill="auto"/>
          </w:tcPr>
          <w:p w14:paraId="11F14885" w14:textId="77777777" w:rsidR="00387C64" w:rsidRPr="00245663" w:rsidRDefault="00387C64" w:rsidP="009506EF">
            <w:pPr>
              <w:jc w:val="center"/>
              <w:rPr>
                <w:rFonts w:cs="Arial"/>
                <w:bCs/>
                <w:noProof/>
                <w:szCs w:val="24"/>
              </w:rPr>
            </w:pPr>
          </w:p>
        </w:tc>
        <w:tc>
          <w:tcPr>
            <w:tcW w:w="2040" w:type="dxa"/>
            <w:tcBorders>
              <w:bottom w:val="nil"/>
            </w:tcBorders>
            <w:shd w:val="clear" w:color="auto" w:fill="auto"/>
          </w:tcPr>
          <w:p w14:paraId="7077E2AA" w14:textId="77777777" w:rsidR="00387C64" w:rsidRPr="00245663" w:rsidRDefault="00387C64" w:rsidP="009506EF">
            <w:pPr>
              <w:jc w:val="center"/>
              <w:rPr>
                <w:rFonts w:cs="Arial"/>
                <w:bCs/>
                <w:noProof/>
                <w:szCs w:val="24"/>
              </w:rPr>
            </w:pPr>
            <w:r w:rsidRPr="00245663">
              <w:rPr>
                <w:rFonts w:cs="Arial"/>
                <w:bCs/>
                <w:noProof/>
                <w:szCs w:val="24"/>
              </w:rPr>
              <w:t>Greater than 90,000</w:t>
            </w:r>
          </w:p>
        </w:tc>
        <w:tc>
          <w:tcPr>
            <w:tcW w:w="2250" w:type="dxa"/>
            <w:shd w:val="clear" w:color="auto" w:fill="auto"/>
            <w:vAlign w:val="center"/>
          </w:tcPr>
          <w:p w14:paraId="423F977B" w14:textId="77777777" w:rsidR="00387C64" w:rsidRPr="00245663" w:rsidRDefault="00387C64" w:rsidP="009506EF">
            <w:pPr>
              <w:jc w:val="center"/>
              <w:rPr>
                <w:rFonts w:cs="Arial"/>
                <w:bCs/>
                <w:noProof/>
                <w:szCs w:val="24"/>
              </w:rPr>
            </w:pPr>
            <w:r w:rsidRPr="00245663">
              <w:rPr>
                <w:rFonts w:cs="Arial"/>
                <w:bCs/>
                <w:noProof/>
                <w:szCs w:val="24"/>
              </w:rPr>
              <w:t>1 or Greater</w:t>
            </w:r>
          </w:p>
        </w:tc>
        <w:tc>
          <w:tcPr>
            <w:tcW w:w="2160" w:type="dxa"/>
            <w:shd w:val="clear" w:color="auto" w:fill="auto"/>
            <w:vAlign w:val="center"/>
          </w:tcPr>
          <w:p w14:paraId="1CA3301D" w14:textId="77777777" w:rsidR="00387C64" w:rsidRPr="00245663" w:rsidRDefault="00387C64" w:rsidP="009506EF">
            <w:pPr>
              <w:jc w:val="center"/>
              <w:rPr>
                <w:rFonts w:cs="Arial"/>
                <w:bCs/>
                <w:noProof/>
                <w:szCs w:val="24"/>
              </w:rPr>
            </w:pPr>
            <w:r w:rsidRPr="00245663">
              <w:rPr>
                <w:rFonts w:cs="Arial"/>
                <w:bCs/>
                <w:noProof/>
                <w:szCs w:val="24"/>
              </w:rPr>
              <w:t>400</w:t>
            </w:r>
          </w:p>
        </w:tc>
      </w:tr>
      <w:tr w:rsidR="00387C64" w:rsidRPr="006D5F97" w14:paraId="06DA7A49" w14:textId="77777777" w:rsidTr="009506EF">
        <w:trPr>
          <w:cantSplit/>
          <w:trHeight w:val="279"/>
          <w:tblHeader/>
        </w:trPr>
        <w:tc>
          <w:tcPr>
            <w:tcW w:w="1737" w:type="dxa"/>
            <w:vMerge w:val="restart"/>
            <w:shd w:val="clear" w:color="auto" w:fill="auto"/>
          </w:tcPr>
          <w:p w14:paraId="4054DCB7" w14:textId="77777777" w:rsidR="00387C64" w:rsidRPr="00245663" w:rsidRDefault="00387C64" w:rsidP="009506EF">
            <w:pPr>
              <w:jc w:val="center"/>
              <w:rPr>
                <w:rFonts w:cs="Arial"/>
                <w:bCs/>
                <w:noProof/>
                <w:szCs w:val="24"/>
              </w:rPr>
            </w:pPr>
            <w:r w:rsidRPr="00245663">
              <w:rPr>
                <w:rFonts w:cs="Arial"/>
                <w:bCs/>
                <w:noProof/>
                <w:szCs w:val="24"/>
              </w:rPr>
              <w:t>Retail</w:t>
            </w:r>
          </w:p>
        </w:tc>
        <w:tc>
          <w:tcPr>
            <w:tcW w:w="2040" w:type="dxa"/>
            <w:vMerge w:val="restart"/>
            <w:shd w:val="clear" w:color="auto" w:fill="auto"/>
          </w:tcPr>
          <w:p w14:paraId="12A43F49" w14:textId="77777777" w:rsidR="00387C64" w:rsidRPr="00245663" w:rsidRDefault="00387C64" w:rsidP="009506EF">
            <w:pPr>
              <w:jc w:val="center"/>
              <w:rPr>
                <w:rFonts w:cs="Arial"/>
                <w:bCs/>
                <w:noProof/>
                <w:szCs w:val="24"/>
              </w:rPr>
            </w:pPr>
            <w:r w:rsidRPr="00245663">
              <w:rPr>
                <w:rFonts w:cs="Arial"/>
                <w:bCs/>
                <w:noProof/>
                <w:szCs w:val="24"/>
              </w:rPr>
              <w:t>10,000 to 135,000</w:t>
            </w:r>
          </w:p>
        </w:tc>
        <w:tc>
          <w:tcPr>
            <w:tcW w:w="2250" w:type="dxa"/>
            <w:shd w:val="clear" w:color="auto" w:fill="auto"/>
            <w:vAlign w:val="center"/>
          </w:tcPr>
          <w:p w14:paraId="421C8F16" w14:textId="77777777" w:rsidR="00387C64" w:rsidRPr="00245663" w:rsidRDefault="00387C64" w:rsidP="009506EF">
            <w:pPr>
              <w:jc w:val="center"/>
              <w:rPr>
                <w:rFonts w:cs="Arial"/>
                <w:bCs/>
                <w:noProof/>
                <w:szCs w:val="24"/>
              </w:rPr>
            </w:pPr>
            <w:r w:rsidRPr="00245663">
              <w:rPr>
                <w:rFonts w:cs="Arial"/>
                <w:bCs/>
                <w:noProof/>
                <w:szCs w:val="24"/>
              </w:rPr>
              <w:t>1 or 2</w:t>
            </w:r>
          </w:p>
        </w:tc>
        <w:tc>
          <w:tcPr>
            <w:tcW w:w="2160" w:type="dxa"/>
            <w:shd w:val="clear" w:color="auto" w:fill="auto"/>
            <w:vAlign w:val="center"/>
          </w:tcPr>
          <w:p w14:paraId="5CAA2857" w14:textId="77777777" w:rsidR="00387C64" w:rsidRPr="00245663" w:rsidRDefault="00387C64" w:rsidP="009506EF">
            <w:pPr>
              <w:jc w:val="center"/>
              <w:rPr>
                <w:rFonts w:cs="Arial"/>
                <w:bCs/>
                <w:noProof/>
                <w:szCs w:val="24"/>
              </w:rPr>
            </w:pPr>
            <w:r w:rsidRPr="00245663">
              <w:rPr>
                <w:rFonts w:cs="Arial"/>
                <w:bCs/>
                <w:noProof/>
                <w:szCs w:val="24"/>
              </w:rPr>
              <w:t>200</w:t>
            </w:r>
          </w:p>
        </w:tc>
      </w:tr>
      <w:tr w:rsidR="00387C64" w:rsidRPr="006D5F97" w14:paraId="150CE506" w14:textId="77777777" w:rsidTr="009506EF">
        <w:trPr>
          <w:cantSplit/>
          <w:trHeight w:val="279"/>
          <w:tblHeader/>
        </w:trPr>
        <w:tc>
          <w:tcPr>
            <w:tcW w:w="1737" w:type="dxa"/>
            <w:vMerge/>
            <w:shd w:val="clear" w:color="auto" w:fill="auto"/>
          </w:tcPr>
          <w:p w14:paraId="0691EC7C" w14:textId="77777777" w:rsidR="00387C64" w:rsidRPr="00245663" w:rsidRDefault="00387C64" w:rsidP="009506EF">
            <w:pPr>
              <w:jc w:val="center"/>
              <w:rPr>
                <w:rFonts w:cs="Arial"/>
                <w:bCs/>
                <w:noProof/>
                <w:szCs w:val="24"/>
              </w:rPr>
            </w:pPr>
          </w:p>
        </w:tc>
        <w:tc>
          <w:tcPr>
            <w:tcW w:w="2040" w:type="dxa"/>
            <w:vMerge/>
            <w:tcBorders>
              <w:bottom w:val="nil"/>
            </w:tcBorders>
            <w:shd w:val="clear" w:color="auto" w:fill="auto"/>
          </w:tcPr>
          <w:p w14:paraId="2729F9BC" w14:textId="77777777" w:rsidR="00387C64" w:rsidRPr="00245663" w:rsidRDefault="00387C64" w:rsidP="009506EF">
            <w:pPr>
              <w:jc w:val="center"/>
              <w:rPr>
                <w:rFonts w:cs="Arial"/>
                <w:bCs/>
                <w:noProof/>
                <w:szCs w:val="24"/>
              </w:rPr>
            </w:pPr>
          </w:p>
        </w:tc>
        <w:tc>
          <w:tcPr>
            <w:tcW w:w="2250" w:type="dxa"/>
            <w:shd w:val="clear" w:color="auto" w:fill="auto"/>
            <w:vAlign w:val="center"/>
          </w:tcPr>
          <w:p w14:paraId="105E6CFA" w14:textId="77777777" w:rsidR="00387C64" w:rsidRPr="00245663" w:rsidRDefault="00387C64" w:rsidP="009506EF">
            <w:pPr>
              <w:jc w:val="center"/>
              <w:rPr>
                <w:rFonts w:cs="Arial"/>
                <w:bCs/>
                <w:noProof/>
                <w:szCs w:val="24"/>
              </w:rPr>
            </w:pPr>
            <w:r w:rsidRPr="00245663">
              <w:rPr>
                <w:rFonts w:cs="Arial"/>
                <w:bCs/>
                <w:noProof/>
                <w:szCs w:val="24"/>
              </w:rPr>
              <w:t>3 or Greater</w:t>
            </w:r>
          </w:p>
        </w:tc>
        <w:tc>
          <w:tcPr>
            <w:tcW w:w="2160" w:type="dxa"/>
            <w:shd w:val="clear" w:color="auto" w:fill="auto"/>
            <w:vAlign w:val="center"/>
          </w:tcPr>
          <w:p w14:paraId="118777D5" w14:textId="77777777" w:rsidR="00387C64" w:rsidRPr="00245663" w:rsidRDefault="00387C64" w:rsidP="009506EF">
            <w:pPr>
              <w:jc w:val="center"/>
              <w:rPr>
                <w:rFonts w:cs="Arial"/>
                <w:bCs/>
                <w:noProof/>
                <w:szCs w:val="24"/>
              </w:rPr>
            </w:pPr>
            <w:r w:rsidRPr="00245663">
              <w:rPr>
                <w:rFonts w:cs="Arial"/>
                <w:bCs/>
                <w:noProof/>
                <w:szCs w:val="24"/>
              </w:rPr>
              <w:t>400</w:t>
            </w:r>
          </w:p>
        </w:tc>
      </w:tr>
      <w:tr w:rsidR="00387C64" w:rsidRPr="006D5F97" w14:paraId="1B9D69D0" w14:textId="77777777" w:rsidTr="009506EF">
        <w:trPr>
          <w:cantSplit/>
          <w:trHeight w:val="279"/>
          <w:tblHeader/>
        </w:trPr>
        <w:tc>
          <w:tcPr>
            <w:tcW w:w="1737" w:type="dxa"/>
            <w:vMerge/>
            <w:tcBorders>
              <w:bottom w:val="nil"/>
            </w:tcBorders>
            <w:shd w:val="clear" w:color="auto" w:fill="auto"/>
          </w:tcPr>
          <w:p w14:paraId="2ABAC4F6" w14:textId="77777777" w:rsidR="00387C64" w:rsidRPr="00245663" w:rsidRDefault="00387C64" w:rsidP="009506EF">
            <w:pPr>
              <w:jc w:val="center"/>
              <w:rPr>
                <w:rFonts w:cs="Arial"/>
                <w:bCs/>
                <w:noProof/>
                <w:szCs w:val="24"/>
              </w:rPr>
            </w:pPr>
          </w:p>
        </w:tc>
        <w:tc>
          <w:tcPr>
            <w:tcW w:w="2040" w:type="dxa"/>
            <w:tcBorders>
              <w:bottom w:val="nil"/>
            </w:tcBorders>
            <w:shd w:val="clear" w:color="auto" w:fill="auto"/>
          </w:tcPr>
          <w:p w14:paraId="5A22EA88" w14:textId="77777777" w:rsidR="00387C64" w:rsidRPr="00245663" w:rsidRDefault="00387C64" w:rsidP="009506EF">
            <w:pPr>
              <w:jc w:val="center"/>
              <w:rPr>
                <w:rFonts w:cs="Arial"/>
                <w:bCs/>
                <w:noProof/>
                <w:szCs w:val="24"/>
              </w:rPr>
            </w:pPr>
            <w:r w:rsidRPr="00245663">
              <w:rPr>
                <w:rFonts w:cs="Arial"/>
                <w:bCs/>
                <w:noProof/>
                <w:szCs w:val="24"/>
              </w:rPr>
              <w:t>Greater than 135,000</w:t>
            </w:r>
          </w:p>
        </w:tc>
        <w:tc>
          <w:tcPr>
            <w:tcW w:w="2250" w:type="dxa"/>
            <w:shd w:val="clear" w:color="auto" w:fill="auto"/>
            <w:vAlign w:val="center"/>
          </w:tcPr>
          <w:p w14:paraId="088C4318" w14:textId="77777777" w:rsidR="00387C64" w:rsidRPr="00245663" w:rsidRDefault="00387C64" w:rsidP="009506EF">
            <w:pPr>
              <w:jc w:val="center"/>
              <w:rPr>
                <w:rFonts w:cs="Arial"/>
                <w:bCs/>
                <w:noProof/>
                <w:szCs w:val="24"/>
              </w:rPr>
            </w:pPr>
            <w:r w:rsidRPr="00245663">
              <w:rPr>
                <w:rFonts w:cs="Arial"/>
                <w:bCs/>
                <w:noProof/>
                <w:szCs w:val="24"/>
              </w:rPr>
              <w:t>1 or Greater</w:t>
            </w:r>
          </w:p>
        </w:tc>
        <w:tc>
          <w:tcPr>
            <w:tcW w:w="2160" w:type="dxa"/>
            <w:shd w:val="clear" w:color="auto" w:fill="auto"/>
            <w:vAlign w:val="center"/>
          </w:tcPr>
          <w:p w14:paraId="07F6A17A" w14:textId="77777777" w:rsidR="00387C64" w:rsidRPr="00245663" w:rsidRDefault="00387C64" w:rsidP="009506EF">
            <w:pPr>
              <w:jc w:val="center"/>
              <w:rPr>
                <w:rFonts w:cs="Arial"/>
                <w:bCs/>
                <w:noProof/>
                <w:szCs w:val="24"/>
              </w:rPr>
            </w:pPr>
            <w:r w:rsidRPr="00245663">
              <w:rPr>
                <w:rFonts w:cs="Arial"/>
                <w:bCs/>
                <w:noProof/>
                <w:szCs w:val="24"/>
              </w:rPr>
              <w:t>400</w:t>
            </w:r>
          </w:p>
        </w:tc>
      </w:tr>
      <w:tr w:rsidR="00387C64" w:rsidRPr="006D5F97" w14:paraId="6B5620C9" w14:textId="77777777" w:rsidTr="009506EF">
        <w:trPr>
          <w:cantSplit/>
          <w:trHeight w:val="188"/>
          <w:tblHeader/>
        </w:trPr>
        <w:tc>
          <w:tcPr>
            <w:tcW w:w="1737" w:type="dxa"/>
            <w:vMerge w:val="restart"/>
            <w:shd w:val="clear" w:color="auto" w:fill="auto"/>
          </w:tcPr>
          <w:p w14:paraId="00F115A7" w14:textId="77777777" w:rsidR="00387C64" w:rsidRPr="00245663" w:rsidRDefault="00387C64" w:rsidP="009506EF">
            <w:pPr>
              <w:jc w:val="center"/>
              <w:rPr>
                <w:rFonts w:cs="Arial"/>
                <w:bCs/>
                <w:noProof/>
                <w:szCs w:val="24"/>
              </w:rPr>
            </w:pPr>
            <w:r w:rsidRPr="00245663">
              <w:rPr>
                <w:rFonts w:cs="Arial"/>
                <w:bCs/>
                <w:noProof/>
                <w:szCs w:val="24"/>
              </w:rPr>
              <w:t>Warehouse</w:t>
            </w:r>
          </w:p>
        </w:tc>
        <w:tc>
          <w:tcPr>
            <w:tcW w:w="2040" w:type="dxa"/>
            <w:vMerge w:val="restart"/>
            <w:shd w:val="clear" w:color="auto" w:fill="auto"/>
          </w:tcPr>
          <w:p w14:paraId="3BD846EA" w14:textId="77777777" w:rsidR="00387C64" w:rsidRPr="00245663" w:rsidRDefault="00387C64" w:rsidP="009506EF">
            <w:pPr>
              <w:jc w:val="center"/>
              <w:rPr>
                <w:rFonts w:cs="Arial"/>
                <w:bCs/>
                <w:noProof/>
                <w:szCs w:val="24"/>
              </w:rPr>
            </w:pPr>
            <w:r w:rsidRPr="00245663">
              <w:rPr>
                <w:rFonts w:cs="Arial"/>
                <w:bCs/>
                <w:noProof/>
                <w:szCs w:val="24"/>
              </w:rPr>
              <w:t>20,000 to 256,000</w:t>
            </w:r>
          </w:p>
        </w:tc>
        <w:tc>
          <w:tcPr>
            <w:tcW w:w="2250" w:type="dxa"/>
            <w:shd w:val="clear" w:color="auto" w:fill="auto"/>
            <w:vAlign w:val="center"/>
          </w:tcPr>
          <w:p w14:paraId="73254F08" w14:textId="77777777" w:rsidR="00387C64" w:rsidRPr="00245663" w:rsidRDefault="00387C64" w:rsidP="009506EF">
            <w:pPr>
              <w:jc w:val="center"/>
              <w:rPr>
                <w:rFonts w:cs="Arial"/>
                <w:bCs/>
                <w:noProof/>
                <w:szCs w:val="24"/>
              </w:rPr>
            </w:pPr>
            <w:r w:rsidRPr="00245663">
              <w:rPr>
                <w:rFonts w:cs="Arial"/>
                <w:bCs/>
                <w:noProof/>
                <w:szCs w:val="24"/>
              </w:rPr>
              <w:t>1 or 2</w:t>
            </w:r>
          </w:p>
        </w:tc>
        <w:tc>
          <w:tcPr>
            <w:tcW w:w="2160" w:type="dxa"/>
            <w:shd w:val="clear" w:color="auto" w:fill="auto"/>
            <w:vAlign w:val="center"/>
          </w:tcPr>
          <w:p w14:paraId="7955CAE8" w14:textId="77777777" w:rsidR="00387C64" w:rsidRPr="00245663" w:rsidRDefault="00387C64" w:rsidP="009506EF">
            <w:pPr>
              <w:jc w:val="center"/>
              <w:rPr>
                <w:rFonts w:cs="Arial"/>
                <w:bCs/>
                <w:noProof/>
                <w:szCs w:val="24"/>
              </w:rPr>
            </w:pPr>
            <w:r w:rsidRPr="00245663">
              <w:rPr>
                <w:rFonts w:cs="Arial"/>
                <w:bCs/>
                <w:noProof/>
                <w:szCs w:val="24"/>
              </w:rPr>
              <w:t>200</w:t>
            </w:r>
          </w:p>
        </w:tc>
      </w:tr>
      <w:tr w:rsidR="00387C64" w:rsidRPr="006D5F97" w14:paraId="3039F07C" w14:textId="77777777" w:rsidTr="009506EF">
        <w:trPr>
          <w:cantSplit/>
          <w:trHeight w:val="188"/>
          <w:tblHeader/>
        </w:trPr>
        <w:tc>
          <w:tcPr>
            <w:tcW w:w="1737" w:type="dxa"/>
            <w:vMerge/>
            <w:shd w:val="clear" w:color="auto" w:fill="auto"/>
          </w:tcPr>
          <w:p w14:paraId="6234BE9F" w14:textId="77777777" w:rsidR="00387C64" w:rsidRPr="00245663" w:rsidRDefault="00387C64" w:rsidP="009506EF">
            <w:pPr>
              <w:jc w:val="center"/>
              <w:rPr>
                <w:rFonts w:cs="Arial"/>
                <w:bCs/>
                <w:noProof/>
                <w:szCs w:val="24"/>
              </w:rPr>
            </w:pPr>
          </w:p>
        </w:tc>
        <w:tc>
          <w:tcPr>
            <w:tcW w:w="2040" w:type="dxa"/>
            <w:vMerge/>
            <w:tcBorders>
              <w:bottom w:val="nil"/>
            </w:tcBorders>
            <w:shd w:val="clear" w:color="auto" w:fill="auto"/>
          </w:tcPr>
          <w:p w14:paraId="1C81C07E" w14:textId="77777777" w:rsidR="00387C64" w:rsidRPr="00245663" w:rsidRDefault="00387C64" w:rsidP="009506EF">
            <w:pPr>
              <w:jc w:val="center"/>
              <w:rPr>
                <w:rFonts w:cs="Arial"/>
                <w:bCs/>
                <w:noProof/>
                <w:szCs w:val="24"/>
              </w:rPr>
            </w:pPr>
          </w:p>
        </w:tc>
        <w:tc>
          <w:tcPr>
            <w:tcW w:w="2250" w:type="dxa"/>
            <w:shd w:val="clear" w:color="auto" w:fill="auto"/>
            <w:vAlign w:val="center"/>
          </w:tcPr>
          <w:p w14:paraId="38C25660" w14:textId="77777777" w:rsidR="00387C64" w:rsidRPr="00245663" w:rsidRDefault="00387C64" w:rsidP="009506EF">
            <w:pPr>
              <w:jc w:val="center"/>
              <w:rPr>
                <w:rFonts w:cs="Arial"/>
                <w:bCs/>
                <w:noProof/>
                <w:szCs w:val="24"/>
              </w:rPr>
            </w:pPr>
            <w:r w:rsidRPr="00245663">
              <w:rPr>
                <w:rFonts w:cs="Arial"/>
                <w:bCs/>
                <w:noProof/>
                <w:szCs w:val="24"/>
              </w:rPr>
              <w:t>3 or Greater</w:t>
            </w:r>
          </w:p>
        </w:tc>
        <w:tc>
          <w:tcPr>
            <w:tcW w:w="2160" w:type="dxa"/>
            <w:shd w:val="clear" w:color="auto" w:fill="auto"/>
            <w:vAlign w:val="center"/>
          </w:tcPr>
          <w:p w14:paraId="127867FC" w14:textId="77777777" w:rsidR="00387C64" w:rsidRPr="00245663" w:rsidRDefault="00387C64" w:rsidP="009506EF">
            <w:pPr>
              <w:jc w:val="center"/>
              <w:rPr>
                <w:rFonts w:cs="Arial"/>
                <w:bCs/>
                <w:noProof/>
                <w:szCs w:val="24"/>
              </w:rPr>
            </w:pPr>
            <w:r w:rsidRPr="00245663">
              <w:rPr>
                <w:rFonts w:cs="Arial"/>
                <w:bCs/>
                <w:noProof/>
                <w:szCs w:val="24"/>
              </w:rPr>
              <w:t>400</w:t>
            </w:r>
          </w:p>
        </w:tc>
      </w:tr>
      <w:tr w:rsidR="00387C64" w:rsidRPr="006D5F97" w14:paraId="401B0D81" w14:textId="77777777" w:rsidTr="009506EF">
        <w:trPr>
          <w:cantSplit/>
          <w:trHeight w:val="188"/>
          <w:tblHeader/>
        </w:trPr>
        <w:tc>
          <w:tcPr>
            <w:tcW w:w="1737" w:type="dxa"/>
            <w:vMerge/>
            <w:tcBorders>
              <w:bottom w:val="single" w:sz="4" w:space="0" w:color="auto"/>
            </w:tcBorders>
            <w:shd w:val="clear" w:color="auto" w:fill="auto"/>
          </w:tcPr>
          <w:p w14:paraId="39CB98E4" w14:textId="77777777" w:rsidR="00387C64" w:rsidRPr="00245663" w:rsidRDefault="00387C64" w:rsidP="009506EF">
            <w:pPr>
              <w:jc w:val="center"/>
              <w:rPr>
                <w:rFonts w:cs="Arial"/>
                <w:bCs/>
                <w:noProof/>
                <w:szCs w:val="24"/>
              </w:rPr>
            </w:pPr>
          </w:p>
        </w:tc>
        <w:tc>
          <w:tcPr>
            <w:tcW w:w="2040" w:type="dxa"/>
            <w:tcBorders>
              <w:bottom w:val="nil"/>
            </w:tcBorders>
            <w:shd w:val="clear" w:color="auto" w:fill="auto"/>
          </w:tcPr>
          <w:p w14:paraId="52B5467B" w14:textId="77777777" w:rsidR="00387C64" w:rsidRPr="00245663" w:rsidRDefault="00387C64" w:rsidP="009506EF">
            <w:pPr>
              <w:jc w:val="center"/>
              <w:rPr>
                <w:rFonts w:cs="Arial"/>
                <w:bCs/>
                <w:noProof/>
                <w:szCs w:val="24"/>
              </w:rPr>
            </w:pPr>
            <w:r w:rsidRPr="00245663">
              <w:rPr>
                <w:rFonts w:cs="Arial"/>
                <w:bCs/>
                <w:noProof/>
                <w:szCs w:val="24"/>
              </w:rPr>
              <w:t>Greater than 256,000</w:t>
            </w:r>
          </w:p>
        </w:tc>
        <w:tc>
          <w:tcPr>
            <w:tcW w:w="2250" w:type="dxa"/>
            <w:shd w:val="clear" w:color="auto" w:fill="auto"/>
            <w:vAlign w:val="center"/>
          </w:tcPr>
          <w:p w14:paraId="0F5DCCDB" w14:textId="77777777" w:rsidR="00387C64" w:rsidRPr="00245663" w:rsidRDefault="00387C64" w:rsidP="009506EF">
            <w:pPr>
              <w:jc w:val="center"/>
              <w:rPr>
                <w:rFonts w:cs="Arial"/>
                <w:bCs/>
                <w:noProof/>
                <w:szCs w:val="24"/>
              </w:rPr>
            </w:pPr>
            <w:r w:rsidRPr="00245663">
              <w:rPr>
                <w:rFonts w:cs="Arial"/>
                <w:bCs/>
                <w:noProof/>
                <w:szCs w:val="24"/>
              </w:rPr>
              <w:t>1 or Greater</w:t>
            </w:r>
          </w:p>
        </w:tc>
        <w:tc>
          <w:tcPr>
            <w:tcW w:w="2160" w:type="dxa"/>
            <w:shd w:val="clear" w:color="auto" w:fill="auto"/>
            <w:vAlign w:val="center"/>
          </w:tcPr>
          <w:p w14:paraId="1C889DD1" w14:textId="77777777" w:rsidR="00387C64" w:rsidRPr="00245663" w:rsidRDefault="00387C64" w:rsidP="009506EF">
            <w:pPr>
              <w:jc w:val="center"/>
              <w:rPr>
                <w:rFonts w:cs="Arial"/>
                <w:bCs/>
                <w:noProof/>
                <w:szCs w:val="24"/>
              </w:rPr>
            </w:pPr>
            <w:r w:rsidRPr="00245663">
              <w:rPr>
                <w:rFonts w:cs="Arial"/>
                <w:bCs/>
                <w:noProof/>
                <w:szCs w:val="24"/>
              </w:rPr>
              <w:t>400</w:t>
            </w:r>
          </w:p>
        </w:tc>
      </w:tr>
      <w:tr w:rsidR="00387C64" w:rsidRPr="006D5F97" w14:paraId="2132CB7C" w14:textId="77777777" w:rsidTr="009506EF">
        <w:trPr>
          <w:cantSplit/>
          <w:trHeight w:val="494"/>
          <w:tblHeader/>
        </w:trPr>
        <w:tc>
          <w:tcPr>
            <w:tcW w:w="1737" w:type="dxa"/>
            <w:tcBorders>
              <w:top w:val="single" w:sz="4" w:space="0" w:color="auto"/>
              <w:bottom w:val="nil"/>
            </w:tcBorders>
            <w:shd w:val="clear" w:color="auto" w:fill="auto"/>
          </w:tcPr>
          <w:p w14:paraId="68E1D8A4" w14:textId="77777777" w:rsidR="00387C64" w:rsidRPr="00245663" w:rsidRDefault="00387C64" w:rsidP="009506EF">
            <w:pPr>
              <w:jc w:val="center"/>
              <w:rPr>
                <w:rFonts w:cs="Arial"/>
                <w:bCs/>
                <w:noProof/>
                <w:szCs w:val="24"/>
                <w:u w:val="single"/>
              </w:rPr>
            </w:pPr>
            <w:r w:rsidRPr="00245663">
              <w:rPr>
                <w:rFonts w:cs="Arial"/>
                <w:bCs/>
                <w:noProof/>
                <w:szCs w:val="24"/>
                <w:u w:val="single"/>
              </w:rPr>
              <w:t>Manufacturing Facilities</w:t>
            </w:r>
          </w:p>
        </w:tc>
        <w:tc>
          <w:tcPr>
            <w:tcW w:w="2040" w:type="dxa"/>
            <w:shd w:val="clear" w:color="auto" w:fill="auto"/>
          </w:tcPr>
          <w:p w14:paraId="3B40F00F" w14:textId="77777777" w:rsidR="00387C64" w:rsidRPr="00245663" w:rsidRDefault="00387C64" w:rsidP="009506EF">
            <w:pPr>
              <w:jc w:val="center"/>
              <w:rPr>
                <w:rFonts w:cs="Arial"/>
                <w:bCs/>
                <w:noProof/>
                <w:szCs w:val="24"/>
                <w:u w:val="single"/>
              </w:rPr>
            </w:pPr>
            <w:r w:rsidRPr="00245663">
              <w:rPr>
                <w:rFonts w:cs="Arial"/>
                <w:bCs/>
                <w:noProof/>
                <w:szCs w:val="24"/>
                <w:u w:val="single"/>
              </w:rPr>
              <w:t>10,000 to 50,000</w:t>
            </w:r>
          </w:p>
        </w:tc>
        <w:tc>
          <w:tcPr>
            <w:tcW w:w="2250" w:type="dxa"/>
            <w:shd w:val="clear" w:color="auto" w:fill="auto"/>
            <w:vAlign w:val="center"/>
          </w:tcPr>
          <w:p w14:paraId="4546392E" w14:textId="77777777" w:rsidR="00387C64" w:rsidRPr="00245663" w:rsidRDefault="00387C64" w:rsidP="009506EF">
            <w:pPr>
              <w:jc w:val="center"/>
              <w:rPr>
                <w:rFonts w:cs="Arial"/>
                <w:bCs/>
                <w:noProof/>
                <w:szCs w:val="24"/>
                <w:u w:val="single"/>
              </w:rPr>
            </w:pPr>
            <w:r w:rsidRPr="00245663">
              <w:rPr>
                <w:rFonts w:cs="Arial"/>
                <w:bCs/>
                <w:noProof/>
                <w:szCs w:val="24"/>
                <w:u w:val="single"/>
              </w:rPr>
              <w:t>1 or 2</w:t>
            </w:r>
          </w:p>
        </w:tc>
        <w:tc>
          <w:tcPr>
            <w:tcW w:w="2160" w:type="dxa"/>
            <w:shd w:val="clear" w:color="auto" w:fill="auto"/>
            <w:vAlign w:val="center"/>
          </w:tcPr>
          <w:p w14:paraId="320C695C" w14:textId="77777777" w:rsidR="00387C64" w:rsidRPr="00245663" w:rsidRDefault="00387C64" w:rsidP="009506EF">
            <w:pPr>
              <w:jc w:val="center"/>
              <w:rPr>
                <w:rFonts w:cs="Arial"/>
                <w:bCs/>
                <w:noProof/>
                <w:szCs w:val="24"/>
                <w:u w:val="single"/>
              </w:rPr>
            </w:pPr>
            <w:r w:rsidRPr="00245663">
              <w:rPr>
                <w:rFonts w:cs="Arial"/>
                <w:bCs/>
                <w:noProof/>
                <w:szCs w:val="24"/>
                <w:u w:val="single"/>
              </w:rPr>
              <w:t>200</w:t>
            </w:r>
          </w:p>
        </w:tc>
      </w:tr>
      <w:tr w:rsidR="00387C64" w:rsidRPr="006D5F97" w14:paraId="2E27CC03" w14:textId="77777777" w:rsidTr="009506EF">
        <w:trPr>
          <w:cantSplit/>
          <w:trHeight w:val="494"/>
          <w:tblHeader/>
        </w:trPr>
        <w:tc>
          <w:tcPr>
            <w:tcW w:w="1737" w:type="dxa"/>
            <w:tcBorders>
              <w:top w:val="nil"/>
              <w:bottom w:val="nil"/>
            </w:tcBorders>
            <w:shd w:val="clear" w:color="auto" w:fill="auto"/>
          </w:tcPr>
          <w:p w14:paraId="34B51E74" w14:textId="77777777" w:rsidR="00387C64" w:rsidRPr="00245663" w:rsidRDefault="00387C64" w:rsidP="009506EF">
            <w:pPr>
              <w:jc w:val="center"/>
              <w:rPr>
                <w:rFonts w:cs="Arial"/>
                <w:bCs/>
                <w:noProof/>
                <w:color w:val="FFFFFF"/>
                <w:szCs w:val="24"/>
                <w:u w:val="single"/>
              </w:rPr>
            </w:pPr>
            <w:r w:rsidRPr="00245663">
              <w:rPr>
                <w:rFonts w:cs="Arial"/>
                <w:bCs/>
                <w:noProof/>
                <w:color w:val="FFFFFF"/>
                <w:szCs w:val="24"/>
                <w:u w:val="single"/>
              </w:rPr>
              <w:t>Manufacturing Facilities</w:t>
            </w:r>
          </w:p>
        </w:tc>
        <w:tc>
          <w:tcPr>
            <w:tcW w:w="2040" w:type="dxa"/>
            <w:shd w:val="clear" w:color="auto" w:fill="auto"/>
          </w:tcPr>
          <w:p w14:paraId="235E09C8" w14:textId="77777777" w:rsidR="00387C64" w:rsidRPr="00245663" w:rsidRDefault="00387C64" w:rsidP="009506EF">
            <w:pPr>
              <w:jc w:val="center"/>
              <w:rPr>
                <w:rFonts w:cs="Arial"/>
                <w:bCs/>
                <w:noProof/>
                <w:szCs w:val="24"/>
                <w:u w:val="single"/>
              </w:rPr>
            </w:pPr>
            <w:r w:rsidRPr="00245663">
              <w:rPr>
                <w:rFonts w:cs="Arial"/>
                <w:bCs/>
                <w:noProof/>
                <w:szCs w:val="24"/>
                <w:u w:val="single"/>
              </w:rPr>
              <w:t>10,000 to 50,000</w:t>
            </w:r>
          </w:p>
        </w:tc>
        <w:tc>
          <w:tcPr>
            <w:tcW w:w="2250" w:type="dxa"/>
            <w:shd w:val="clear" w:color="auto" w:fill="auto"/>
            <w:vAlign w:val="center"/>
          </w:tcPr>
          <w:p w14:paraId="69A9F5A0" w14:textId="77777777" w:rsidR="00387C64" w:rsidRPr="00245663" w:rsidRDefault="00387C64" w:rsidP="009506EF">
            <w:pPr>
              <w:jc w:val="center"/>
              <w:rPr>
                <w:rFonts w:cs="Arial"/>
                <w:bCs/>
                <w:noProof/>
                <w:szCs w:val="24"/>
                <w:u w:val="single"/>
              </w:rPr>
            </w:pPr>
            <w:r w:rsidRPr="00245663">
              <w:rPr>
                <w:rFonts w:cs="Arial"/>
                <w:bCs/>
                <w:noProof/>
                <w:szCs w:val="24"/>
                <w:u w:val="single"/>
              </w:rPr>
              <w:t>3 or Greater</w:t>
            </w:r>
          </w:p>
        </w:tc>
        <w:tc>
          <w:tcPr>
            <w:tcW w:w="2160" w:type="dxa"/>
            <w:shd w:val="clear" w:color="auto" w:fill="auto"/>
            <w:vAlign w:val="center"/>
          </w:tcPr>
          <w:p w14:paraId="3840EF44" w14:textId="77777777" w:rsidR="00387C64" w:rsidRPr="00245663" w:rsidRDefault="00387C64" w:rsidP="009506EF">
            <w:pPr>
              <w:jc w:val="center"/>
              <w:rPr>
                <w:rFonts w:cs="Arial"/>
                <w:bCs/>
                <w:noProof/>
                <w:szCs w:val="24"/>
                <w:u w:val="single"/>
              </w:rPr>
            </w:pPr>
            <w:r w:rsidRPr="00245663">
              <w:rPr>
                <w:rFonts w:cs="Arial"/>
                <w:bCs/>
                <w:noProof/>
                <w:szCs w:val="24"/>
                <w:u w:val="single"/>
              </w:rPr>
              <w:t>400</w:t>
            </w:r>
          </w:p>
        </w:tc>
      </w:tr>
      <w:tr w:rsidR="00387C64" w:rsidRPr="006D5F97" w14:paraId="10F6FAA9" w14:textId="77777777" w:rsidTr="009506EF">
        <w:trPr>
          <w:cantSplit/>
          <w:trHeight w:val="494"/>
          <w:tblHeader/>
        </w:trPr>
        <w:tc>
          <w:tcPr>
            <w:tcW w:w="1737" w:type="dxa"/>
            <w:tcBorders>
              <w:top w:val="nil"/>
              <w:bottom w:val="single" w:sz="4" w:space="0" w:color="auto"/>
            </w:tcBorders>
            <w:shd w:val="clear" w:color="auto" w:fill="auto"/>
          </w:tcPr>
          <w:p w14:paraId="47CA4D6E" w14:textId="77777777" w:rsidR="00387C64" w:rsidRPr="00245663" w:rsidRDefault="00387C64" w:rsidP="009506EF">
            <w:pPr>
              <w:jc w:val="center"/>
              <w:rPr>
                <w:rFonts w:cs="Arial"/>
                <w:bCs/>
                <w:noProof/>
                <w:color w:val="FFFFFF"/>
                <w:szCs w:val="24"/>
                <w:u w:val="single"/>
              </w:rPr>
            </w:pPr>
            <w:r w:rsidRPr="00245663">
              <w:rPr>
                <w:rFonts w:cs="Arial"/>
                <w:bCs/>
                <w:noProof/>
                <w:color w:val="FFFFFF"/>
                <w:szCs w:val="24"/>
                <w:u w:val="single"/>
              </w:rPr>
              <w:t>Manufacturing Facilities</w:t>
            </w:r>
          </w:p>
        </w:tc>
        <w:tc>
          <w:tcPr>
            <w:tcW w:w="2040" w:type="dxa"/>
            <w:shd w:val="clear" w:color="auto" w:fill="auto"/>
          </w:tcPr>
          <w:p w14:paraId="37095399" w14:textId="77777777" w:rsidR="00387C64" w:rsidRPr="00245663" w:rsidRDefault="00387C64" w:rsidP="009506EF">
            <w:pPr>
              <w:jc w:val="center"/>
              <w:rPr>
                <w:rFonts w:cs="Arial"/>
                <w:bCs/>
                <w:noProof/>
                <w:szCs w:val="24"/>
                <w:u w:val="single"/>
              </w:rPr>
            </w:pPr>
            <w:r w:rsidRPr="00245663">
              <w:rPr>
                <w:rFonts w:cs="Arial"/>
                <w:bCs/>
                <w:noProof/>
                <w:szCs w:val="24"/>
                <w:u w:val="single"/>
              </w:rPr>
              <w:t>Greater than 50,000</w:t>
            </w:r>
          </w:p>
        </w:tc>
        <w:tc>
          <w:tcPr>
            <w:tcW w:w="2250" w:type="dxa"/>
            <w:shd w:val="clear" w:color="auto" w:fill="auto"/>
            <w:vAlign w:val="center"/>
          </w:tcPr>
          <w:p w14:paraId="7BD8D7DD" w14:textId="77777777" w:rsidR="00387C64" w:rsidRPr="00245663" w:rsidRDefault="00387C64" w:rsidP="009506EF">
            <w:pPr>
              <w:jc w:val="center"/>
              <w:rPr>
                <w:rFonts w:cs="Arial"/>
                <w:bCs/>
                <w:noProof/>
                <w:szCs w:val="24"/>
                <w:u w:val="single"/>
              </w:rPr>
            </w:pPr>
            <w:r w:rsidRPr="00245663">
              <w:rPr>
                <w:rFonts w:cs="Arial"/>
                <w:bCs/>
                <w:noProof/>
                <w:szCs w:val="24"/>
                <w:u w:val="single"/>
              </w:rPr>
              <w:t>1 or Greater</w:t>
            </w:r>
          </w:p>
        </w:tc>
        <w:tc>
          <w:tcPr>
            <w:tcW w:w="2160" w:type="dxa"/>
            <w:shd w:val="clear" w:color="auto" w:fill="auto"/>
            <w:vAlign w:val="center"/>
          </w:tcPr>
          <w:p w14:paraId="48DE3DD5" w14:textId="77777777" w:rsidR="00387C64" w:rsidRPr="00245663" w:rsidRDefault="00387C64" w:rsidP="009506EF">
            <w:pPr>
              <w:jc w:val="center"/>
              <w:rPr>
                <w:rFonts w:cs="Arial"/>
                <w:bCs/>
                <w:noProof/>
                <w:szCs w:val="24"/>
                <w:u w:val="single"/>
              </w:rPr>
            </w:pPr>
            <w:r w:rsidRPr="00245663">
              <w:rPr>
                <w:rFonts w:cs="Arial"/>
                <w:bCs/>
                <w:noProof/>
                <w:szCs w:val="24"/>
                <w:u w:val="single"/>
              </w:rPr>
              <w:t>400</w:t>
            </w:r>
          </w:p>
        </w:tc>
      </w:tr>
      <w:tr w:rsidR="00387C64" w:rsidRPr="006D5F97" w14:paraId="6B8D6B35" w14:textId="77777777" w:rsidTr="009506EF">
        <w:trPr>
          <w:cantSplit/>
          <w:trHeight w:val="494"/>
          <w:tblHeader/>
        </w:trPr>
        <w:tc>
          <w:tcPr>
            <w:tcW w:w="1737" w:type="dxa"/>
            <w:tcBorders>
              <w:top w:val="single" w:sz="4" w:space="0" w:color="auto"/>
              <w:bottom w:val="nil"/>
            </w:tcBorders>
            <w:shd w:val="clear" w:color="auto" w:fill="auto"/>
          </w:tcPr>
          <w:p w14:paraId="6DFAD68C" w14:textId="77777777" w:rsidR="00387C64" w:rsidRPr="00245663" w:rsidRDefault="00387C64" w:rsidP="009506EF">
            <w:pPr>
              <w:jc w:val="center"/>
              <w:rPr>
                <w:rFonts w:cs="Arial"/>
                <w:bCs/>
                <w:noProof/>
                <w:szCs w:val="24"/>
                <w:u w:val="single"/>
              </w:rPr>
            </w:pPr>
            <w:r w:rsidRPr="00245663">
              <w:rPr>
                <w:rFonts w:cs="Arial"/>
                <w:bCs/>
                <w:noProof/>
                <w:szCs w:val="24"/>
                <w:u w:val="single"/>
              </w:rPr>
              <w:t xml:space="preserve">Office </w:t>
            </w:r>
            <w:r w:rsidRPr="00801B36">
              <w:rPr>
                <w:rFonts w:cs="Arial"/>
                <w:bCs/>
                <w:noProof/>
                <w:szCs w:val="24"/>
                <w:u w:val="single"/>
              </w:rPr>
              <w:t>Buildings</w:t>
            </w:r>
          </w:p>
        </w:tc>
        <w:tc>
          <w:tcPr>
            <w:tcW w:w="2040" w:type="dxa"/>
            <w:shd w:val="clear" w:color="auto" w:fill="auto"/>
          </w:tcPr>
          <w:p w14:paraId="4B0598B1" w14:textId="77777777" w:rsidR="00387C64" w:rsidRPr="00245663" w:rsidRDefault="00387C64" w:rsidP="009506EF">
            <w:pPr>
              <w:jc w:val="center"/>
              <w:rPr>
                <w:rFonts w:cs="Arial"/>
                <w:bCs/>
                <w:noProof/>
                <w:szCs w:val="24"/>
                <w:u w:val="single"/>
              </w:rPr>
            </w:pPr>
            <w:r w:rsidRPr="00245663">
              <w:rPr>
                <w:rFonts w:cs="Arial"/>
                <w:bCs/>
                <w:noProof/>
                <w:szCs w:val="24"/>
                <w:u w:val="single"/>
              </w:rPr>
              <w:t>10,000 to 135,000</w:t>
            </w:r>
          </w:p>
        </w:tc>
        <w:tc>
          <w:tcPr>
            <w:tcW w:w="2250" w:type="dxa"/>
            <w:shd w:val="clear" w:color="auto" w:fill="auto"/>
            <w:vAlign w:val="center"/>
          </w:tcPr>
          <w:p w14:paraId="30BFA46E" w14:textId="77777777" w:rsidR="00387C64" w:rsidRPr="00245663" w:rsidRDefault="00387C64" w:rsidP="009506EF">
            <w:pPr>
              <w:jc w:val="center"/>
              <w:rPr>
                <w:rFonts w:cs="Arial"/>
                <w:bCs/>
                <w:noProof/>
                <w:szCs w:val="24"/>
                <w:u w:val="single"/>
              </w:rPr>
            </w:pPr>
            <w:r w:rsidRPr="00245663">
              <w:rPr>
                <w:rFonts w:cs="Arial"/>
                <w:bCs/>
                <w:noProof/>
                <w:szCs w:val="24"/>
                <w:u w:val="single"/>
              </w:rPr>
              <w:t>1 or 2</w:t>
            </w:r>
          </w:p>
        </w:tc>
        <w:tc>
          <w:tcPr>
            <w:tcW w:w="2160" w:type="dxa"/>
            <w:shd w:val="clear" w:color="auto" w:fill="auto"/>
            <w:vAlign w:val="center"/>
          </w:tcPr>
          <w:p w14:paraId="4313D98A" w14:textId="77777777" w:rsidR="00387C64" w:rsidRPr="00245663" w:rsidRDefault="00387C64" w:rsidP="009506EF">
            <w:pPr>
              <w:jc w:val="center"/>
              <w:rPr>
                <w:rFonts w:cs="Arial"/>
                <w:bCs/>
                <w:noProof/>
                <w:szCs w:val="24"/>
                <w:u w:val="single"/>
              </w:rPr>
            </w:pPr>
            <w:r w:rsidRPr="00245663">
              <w:rPr>
                <w:rFonts w:cs="Arial"/>
                <w:bCs/>
                <w:noProof/>
                <w:szCs w:val="24"/>
                <w:u w:val="single"/>
              </w:rPr>
              <w:t>200</w:t>
            </w:r>
          </w:p>
        </w:tc>
      </w:tr>
      <w:tr w:rsidR="00387C64" w:rsidRPr="006D5F97" w14:paraId="65A58BBF" w14:textId="77777777" w:rsidTr="009506EF">
        <w:trPr>
          <w:cantSplit/>
          <w:trHeight w:val="494"/>
          <w:tblHeader/>
        </w:trPr>
        <w:tc>
          <w:tcPr>
            <w:tcW w:w="1737" w:type="dxa"/>
            <w:tcBorders>
              <w:top w:val="nil"/>
              <w:bottom w:val="nil"/>
            </w:tcBorders>
            <w:shd w:val="clear" w:color="auto" w:fill="auto"/>
          </w:tcPr>
          <w:p w14:paraId="2B56B58F" w14:textId="77777777" w:rsidR="00387C64" w:rsidRPr="00245663" w:rsidRDefault="00387C64" w:rsidP="009506EF">
            <w:pPr>
              <w:rPr>
                <w:rFonts w:cs="Arial"/>
                <w:bCs/>
                <w:noProof/>
                <w:color w:val="FFFFFF"/>
                <w:szCs w:val="24"/>
                <w:u w:val="single"/>
              </w:rPr>
            </w:pPr>
            <w:r w:rsidRPr="00245663">
              <w:rPr>
                <w:rFonts w:cs="Arial"/>
                <w:bCs/>
                <w:noProof/>
                <w:color w:val="FFFFFF"/>
                <w:szCs w:val="24"/>
                <w:u w:val="single"/>
              </w:rPr>
              <w:t>Office Buildings</w:t>
            </w:r>
          </w:p>
        </w:tc>
        <w:tc>
          <w:tcPr>
            <w:tcW w:w="2040" w:type="dxa"/>
            <w:shd w:val="clear" w:color="auto" w:fill="auto"/>
          </w:tcPr>
          <w:p w14:paraId="387FF89B" w14:textId="77777777" w:rsidR="00387C64" w:rsidRPr="00245663" w:rsidRDefault="00387C64" w:rsidP="009506EF">
            <w:pPr>
              <w:jc w:val="center"/>
              <w:rPr>
                <w:rFonts w:cs="Arial"/>
                <w:bCs/>
                <w:noProof/>
                <w:szCs w:val="24"/>
                <w:u w:val="single"/>
              </w:rPr>
            </w:pPr>
            <w:r w:rsidRPr="00245663">
              <w:rPr>
                <w:rFonts w:cs="Arial"/>
                <w:bCs/>
                <w:noProof/>
                <w:szCs w:val="24"/>
                <w:u w:val="single"/>
              </w:rPr>
              <w:t>10,000 to 135,000</w:t>
            </w:r>
          </w:p>
        </w:tc>
        <w:tc>
          <w:tcPr>
            <w:tcW w:w="2250" w:type="dxa"/>
            <w:shd w:val="clear" w:color="auto" w:fill="auto"/>
            <w:vAlign w:val="center"/>
          </w:tcPr>
          <w:p w14:paraId="20711AFE" w14:textId="77777777" w:rsidR="00387C64" w:rsidRPr="00245663" w:rsidRDefault="00387C64" w:rsidP="009506EF">
            <w:pPr>
              <w:jc w:val="center"/>
              <w:rPr>
                <w:rFonts w:cs="Arial"/>
                <w:bCs/>
                <w:noProof/>
                <w:szCs w:val="24"/>
                <w:u w:val="single"/>
              </w:rPr>
            </w:pPr>
            <w:r w:rsidRPr="00245663">
              <w:rPr>
                <w:rFonts w:cs="Arial"/>
                <w:bCs/>
                <w:noProof/>
                <w:szCs w:val="24"/>
                <w:u w:val="single"/>
              </w:rPr>
              <w:t>3 or Greater</w:t>
            </w:r>
          </w:p>
        </w:tc>
        <w:tc>
          <w:tcPr>
            <w:tcW w:w="2160" w:type="dxa"/>
            <w:shd w:val="clear" w:color="auto" w:fill="auto"/>
            <w:vAlign w:val="center"/>
          </w:tcPr>
          <w:p w14:paraId="2E253D18" w14:textId="77777777" w:rsidR="00387C64" w:rsidRPr="00245663" w:rsidRDefault="00387C64" w:rsidP="009506EF">
            <w:pPr>
              <w:jc w:val="center"/>
              <w:rPr>
                <w:rFonts w:cs="Arial"/>
                <w:bCs/>
                <w:noProof/>
                <w:szCs w:val="24"/>
                <w:u w:val="single"/>
              </w:rPr>
            </w:pPr>
            <w:r w:rsidRPr="00245663">
              <w:rPr>
                <w:rFonts w:cs="Arial"/>
                <w:bCs/>
                <w:noProof/>
                <w:szCs w:val="24"/>
                <w:u w:val="single"/>
              </w:rPr>
              <w:t>400</w:t>
            </w:r>
          </w:p>
        </w:tc>
      </w:tr>
      <w:tr w:rsidR="00387C64" w:rsidRPr="006D5F97" w14:paraId="73D2D721" w14:textId="77777777" w:rsidTr="009506EF">
        <w:trPr>
          <w:cantSplit/>
          <w:trHeight w:val="494"/>
          <w:tblHeader/>
        </w:trPr>
        <w:tc>
          <w:tcPr>
            <w:tcW w:w="1737" w:type="dxa"/>
            <w:tcBorders>
              <w:top w:val="nil"/>
            </w:tcBorders>
            <w:shd w:val="clear" w:color="auto" w:fill="auto"/>
          </w:tcPr>
          <w:p w14:paraId="1AEF09E9" w14:textId="77777777" w:rsidR="00387C64" w:rsidRPr="00245663" w:rsidRDefault="00387C64" w:rsidP="009506EF">
            <w:pPr>
              <w:rPr>
                <w:rFonts w:cs="Arial"/>
                <w:bCs/>
                <w:noProof/>
                <w:color w:val="FFFFFF"/>
                <w:szCs w:val="24"/>
                <w:u w:val="single"/>
              </w:rPr>
            </w:pPr>
            <w:r w:rsidRPr="00245663">
              <w:rPr>
                <w:rFonts w:cs="Arial"/>
                <w:bCs/>
                <w:noProof/>
                <w:color w:val="FFFFFF"/>
                <w:szCs w:val="24"/>
                <w:u w:val="single"/>
              </w:rPr>
              <w:t xml:space="preserve">Office Buildings </w:t>
            </w:r>
          </w:p>
        </w:tc>
        <w:tc>
          <w:tcPr>
            <w:tcW w:w="2040" w:type="dxa"/>
            <w:shd w:val="clear" w:color="auto" w:fill="auto"/>
          </w:tcPr>
          <w:p w14:paraId="5F5BFC38" w14:textId="77777777" w:rsidR="00387C64" w:rsidRPr="00245663" w:rsidRDefault="00387C64" w:rsidP="009506EF">
            <w:pPr>
              <w:jc w:val="center"/>
              <w:rPr>
                <w:rFonts w:cs="Arial"/>
                <w:bCs/>
                <w:noProof/>
                <w:szCs w:val="24"/>
                <w:u w:val="single"/>
              </w:rPr>
            </w:pPr>
            <w:r w:rsidRPr="00245663">
              <w:rPr>
                <w:rFonts w:cs="Arial"/>
                <w:bCs/>
                <w:noProof/>
                <w:szCs w:val="24"/>
                <w:u w:val="single"/>
              </w:rPr>
              <w:t>Greater than 135,000</w:t>
            </w:r>
          </w:p>
        </w:tc>
        <w:tc>
          <w:tcPr>
            <w:tcW w:w="2250" w:type="dxa"/>
            <w:shd w:val="clear" w:color="auto" w:fill="auto"/>
            <w:vAlign w:val="center"/>
          </w:tcPr>
          <w:p w14:paraId="66E7E29B" w14:textId="77777777" w:rsidR="00387C64" w:rsidRPr="00245663" w:rsidRDefault="00387C64" w:rsidP="009506EF">
            <w:pPr>
              <w:jc w:val="center"/>
              <w:rPr>
                <w:rFonts w:cs="Arial"/>
                <w:bCs/>
                <w:noProof/>
                <w:szCs w:val="24"/>
                <w:u w:val="single"/>
              </w:rPr>
            </w:pPr>
            <w:r w:rsidRPr="00245663">
              <w:rPr>
                <w:rFonts w:cs="Arial"/>
                <w:bCs/>
                <w:noProof/>
                <w:szCs w:val="24"/>
                <w:u w:val="single"/>
              </w:rPr>
              <w:t>1 or Greater</w:t>
            </w:r>
          </w:p>
        </w:tc>
        <w:tc>
          <w:tcPr>
            <w:tcW w:w="2160" w:type="dxa"/>
            <w:shd w:val="clear" w:color="auto" w:fill="auto"/>
            <w:vAlign w:val="center"/>
          </w:tcPr>
          <w:p w14:paraId="68ED5495" w14:textId="77777777" w:rsidR="00387C64" w:rsidRPr="00245663" w:rsidRDefault="00387C64" w:rsidP="009506EF">
            <w:pPr>
              <w:jc w:val="center"/>
              <w:rPr>
                <w:rFonts w:cs="Arial"/>
                <w:bCs/>
                <w:noProof/>
                <w:szCs w:val="24"/>
                <w:u w:val="single"/>
              </w:rPr>
            </w:pPr>
            <w:r w:rsidRPr="00245663">
              <w:rPr>
                <w:rFonts w:cs="Arial"/>
                <w:bCs/>
                <w:noProof/>
                <w:szCs w:val="24"/>
                <w:u w:val="single"/>
              </w:rPr>
              <w:t>400</w:t>
            </w:r>
          </w:p>
        </w:tc>
      </w:tr>
    </w:tbl>
    <w:p w14:paraId="45B45EBF" w14:textId="77777777" w:rsidR="00387C64" w:rsidRPr="00266CDC" w:rsidRDefault="00387C64" w:rsidP="00387C64">
      <w:pPr>
        <w:rPr>
          <w:b/>
          <w:noProof/>
          <w:sz w:val="22"/>
        </w:rPr>
      </w:pPr>
    </w:p>
    <w:p w14:paraId="160C2D0E" w14:textId="77777777" w:rsidR="00C418C2" w:rsidRPr="007B155F" w:rsidRDefault="00C418C2" w:rsidP="00C418C2">
      <w:pPr>
        <w:pStyle w:val="NormalWeb"/>
      </w:pPr>
      <w:r w:rsidRPr="007B155F">
        <w:rPr>
          <w:b/>
          <w:bCs/>
        </w:rPr>
        <w:t>Appendix A</w:t>
      </w:r>
      <w:r>
        <w:rPr>
          <w:b/>
          <w:bCs/>
        </w:rPr>
        <w:t>5</w:t>
      </w:r>
      <w:r w:rsidRPr="007B155F">
        <w:rPr>
          <w:b/>
          <w:bCs/>
        </w:rPr>
        <w:t xml:space="preserve"> </w:t>
      </w:r>
      <w:r>
        <w:rPr>
          <w:b/>
          <w:bCs/>
        </w:rPr>
        <w:t>Nonr</w:t>
      </w:r>
      <w:r w:rsidRPr="007B155F">
        <w:rPr>
          <w:b/>
          <w:bCs/>
        </w:rPr>
        <w:t>esidential Voluntary Measures</w:t>
      </w:r>
      <w:r>
        <w:rPr>
          <w:b/>
          <w:bCs/>
        </w:rPr>
        <w:t>,</w:t>
      </w:r>
      <w:r w:rsidRPr="007B155F">
        <w:rPr>
          <w:b/>
          <w:bCs/>
        </w:rPr>
        <w:t xml:space="preserve"> </w:t>
      </w:r>
      <w:r>
        <w:rPr>
          <w:b/>
          <w:bCs/>
        </w:rPr>
        <w:t>Section A5.</w:t>
      </w:r>
      <w:r w:rsidRPr="007B155F">
        <w:rPr>
          <w:b/>
          <w:bCs/>
        </w:rPr>
        <w:t>106.5.3</w:t>
      </w:r>
      <w:r w:rsidRPr="007B155F">
        <w:rPr>
          <w:rFonts w:eastAsia="Calibri" w:cs="Arial"/>
          <w:b/>
          <w:bCs/>
        </w:rPr>
        <w:t xml:space="preserve"> </w:t>
      </w:r>
      <w:r w:rsidRPr="007B155F">
        <w:rPr>
          <w:rStyle w:val="StyleBold"/>
          <w:rFonts w:eastAsia="Batang"/>
        </w:rPr>
        <w:t>Electric vehicle (EV) charging</w:t>
      </w:r>
      <w:r w:rsidRPr="007B155F">
        <w:rPr>
          <w:b/>
          <w:bCs/>
        </w:rPr>
        <w:t xml:space="preserve"> </w:t>
      </w:r>
      <w:r w:rsidRPr="007B155F">
        <w:t>is adopted as mandatory and amended to read as follows:</w:t>
      </w:r>
    </w:p>
    <w:p w14:paraId="6C292E2D" w14:textId="61EF5562" w:rsidR="00C418C2" w:rsidRPr="007B155F" w:rsidRDefault="00C418C2" w:rsidP="00C418C2">
      <w:pPr>
        <w:tabs>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before="60" w:after="60" w:line="200" w:lineRule="atLeast"/>
        <w:ind w:left="240"/>
        <w:rPr>
          <w:rFonts w:cs="Arial"/>
          <w:szCs w:val="24"/>
          <w:u w:val="single"/>
        </w:rPr>
      </w:pPr>
      <w:r w:rsidRPr="007B155F">
        <w:rPr>
          <w:rStyle w:val="StyleBold"/>
          <w:rFonts w:eastAsia="Batang"/>
        </w:rPr>
        <w:t xml:space="preserve">A5.106.5.3 Electric vehicle (EV) charging. </w:t>
      </w:r>
      <w:r w:rsidRPr="007B155F">
        <w:rPr>
          <w:rFonts w:eastAsia="Batang" w:cs="Arial"/>
          <w:noProof/>
        </w:rPr>
        <w:t xml:space="preserve">Construction shall comply with Section A5.106.5.3.1 </w:t>
      </w:r>
      <w:r w:rsidRPr="007B155F">
        <w:rPr>
          <w:rFonts w:eastAsia="Batang" w:cs="Arial"/>
          <w:noProof/>
          <w:u w:val="single"/>
        </w:rPr>
        <w:t>Tier 1</w:t>
      </w:r>
      <w:r w:rsidRPr="007B155F">
        <w:rPr>
          <w:rFonts w:eastAsia="Batang" w:cs="Arial"/>
          <w:strike/>
          <w:noProof/>
        </w:rPr>
        <w:t xml:space="preserve"> or A5.106.5.3.2</w:t>
      </w:r>
      <w:r w:rsidRPr="007B155F">
        <w:rPr>
          <w:rFonts w:eastAsia="Batang" w:cs="Arial"/>
          <w:noProof/>
        </w:rPr>
        <w:t xml:space="preserve">, and in accordance with regulations in the </w:t>
      </w:r>
      <w:r w:rsidRPr="007B155F">
        <w:rPr>
          <w:rFonts w:eastAsia="Batang" w:cs="Arial"/>
          <w:i/>
          <w:iCs/>
          <w:noProof/>
        </w:rPr>
        <w:t xml:space="preserve">California Building Code </w:t>
      </w:r>
      <w:r w:rsidRPr="007B155F">
        <w:rPr>
          <w:rFonts w:eastAsia="Batang" w:cs="Arial"/>
          <w:noProof/>
        </w:rPr>
        <w:t>and</w:t>
      </w:r>
      <w:r w:rsidR="00F448ED">
        <w:rPr>
          <w:rFonts w:eastAsia="Batang" w:cs="Arial"/>
          <w:i/>
          <w:iCs/>
          <w:noProof/>
        </w:rPr>
        <w:t xml:space="preserve"> </w:t>
      </w:r>
      <w:r w:rsidRPr="007B155F">
        <w:rPr>
          <w:rFonts w:eastAsia="Batang" w:cs="Arial"/>
          <w:noProof/>
        </w:rPr>
        <w:t xml:space="preserve">the </w:t>
      </w:r>
      <w:r w:rsidRPr="007B155F">
        <w:rPr>
          <w:rFonts w:eastAsia="Batang" w:cs="Arial"/>
          <w:i/>
          <w:iCs/>
          <w:noProof/>
        </w:rPr>
        <w:t>California Electrical Code.</w:t>
      </w:r>
      <w:r w:rsidRPr="007B155F">
        <w:rPr>
          <w:rFonts w:cs="Arial"/>
          <w:szCs w:val="24"/>
          <w:u w:val="single"/>
        </w:rPr>
        <w:t xml:space="preserve"> </w:t>
      </w:r>
    </w:p>
    <w:p w14:paraId="02DD681E" w14:textId="0018EAF0" w:rsidR="00C418C2" w:rsidRPr="007B155F" w:rsidRDefault="00C418C2" w:rsidP="00C418C2">
      <w:pPr>
        <w:tabs>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before="120" w:line="200" w:lineRule="atLeast"/>
        <w:ind w:left="720"/>
        <w:rPr>
          <w:rFonts w:cs="Arial"/>
          <w:strike/>
          <w:szCs w:val="24"/>
          <w:u w:val="single"/>
        </w:rPr>
      </w:pPr>
      <w:r w:rsidRPr="007B155F">
        <w:rPr>
          <w:rStyle w:val="StyleBold"/>
          <w:rFonts w:eastAsia="Arial Unicode MS"/>
        </w:rPr>
        <w:t>A5.106.5.3.1 Tier 1.</w:t>
      </w:r>
      <w:r w:rsidR="00F448ED">
        <w:rPr>
          <w:rFonts w:cs="Arial"/>
          <w:noProof/>
          <w:szCs w:val="24"/>
        </w:rPr>
        <w:t xml:space="preserve"> </w:t>
      </w:r>
      <w:r w:rsidRPr="007B155F">
        <w:rPr>
          <w:rFonts w:cs="Arial"/>
          <w:noProof/>
          <w:szCs w:val="24"/>
          <w:u w:val="single"/>
        </w:rPr>
        <w:t>Comply with Section 5.106.5.3.1 EV capable spaces, Section 5.106.5.3.2 Electric vehicle charging stations and associated Table A5.106.5.3.1 Tier 1, or comply with Section A5.106.5.3.2 Electric vehicle charging stations (EVCS)-Power allocation method and associated Table A5.106.5.3.2 Tier 1.</w:t>
      </w:r>
      <w:r w:rsidRPr="007B155F">
        <w:rPr>
          <w:rFonts w:cs="Arial"/>
          <w:strike/>
          <w:noProof/>
          <w:szCs w:val="24"/>
        </w:rPr>
        <w:t xml:space="preserve"> Table A5.106.5.3.1 shall be used to determine the number of EV capable spaces required.</w:t>
      </w:r>
      <w:r w:rsidRPr="007B155F">
        <w:rPr>
          <w:rFonts w:cs="Arial"/>
          <w:noProof/>
          <w:szCs w:val="24"/>
        </w:rPr>
        <w:t xml:space="preserve"> </w:t>
      </w:r>
      <w:r w:rsidRPr="007B155F">
        <w:rPr>
          <w:rFonts w:cs="Arial"/>
          <w:strike/>
          <w:noProof/>
          <w:szCs w:val="24"/>
        </w:rPr>
        <w:t>Refer to Section 5.106.5.3 for design space requirements.</w:t>
      </w:r>
      <w:r w:rsidR="00F448ED">
        <w:rPr>
          <w:rFonts w:cs="Arial"/>
          <w:strike/>
          <w:noProof/>
          <w:szCs w:val="24"/>
        </w:rPr>
        <w:t xml:space="preserve"> </w:t>
      </w:r>
    </w:p>
    <w:p w14:paraId="4A59912E" w14:textId="414BAA05" w:rsidR="00C418C2" w:rsidRPr="00C418C2" w:rsidRDefault="00C418C2" w:rsidP="00C418C2">
      <w:pPr>
        <w:spacing w:before="120"/>
        <w:ind w:left="720" w:firstLine="360"/>
        <w:rPr>
          <w:rStyle w:val="StyleBold"/>
          <w:rFonts w:cs="Arial"/>
          <w:b w:val="0"/>
          <w:bCs w:val="0"/>
          <w:noProof/>
          <w:szCs w:val="24"/>
        </w:rPr>
      </w:pPr>
      <w:bookmarkStart w:id="9" w:name="_Hlk116659837"/>
      <w:r w:rsidRPr="007B155F">
        <w:rPr>
          <w:rFonts w:cs="Arial"/>
          <w:strike/>
          <w:noProof/>
          <w:szCs w:val="24"/>
        </w:rPr>
        <w:t xml:space="preserve">When </w:t>
      </w:r>
      <w:r w:rsidRPr="007B155F">
        <w:rPr>
          <w:rFonts w:cs="Arial"/>
          <w:bCs/>
          <w:strike/>
          <w:color w:val="000000"/>
          <w:szCs w:val="24"/>
        </w:rPr>
        <w:t xml:space="preserve">EV capable spaces are provided </w:t>
      </w:r>
      <w:r w:rsidRPr="007B155F">
        <w:rPr>
          <w:rFonts w:cs="Arial"/>
          <w:strike/>
          <w:noProof/>
          <w:szCs w:val="24"/>
        </w:rPr>
        <w:t>with EVSE to create EVCS per Table A5.106.5.3.1,</w:t>
      </w:r>
      <w:r w:rsidRPr="007B155F">
        <w:rPr>
          <w:rFonts w:cs="Arial"/>
          <w:noProof/>
          <w:szCs w:val="24"/>
        </w:rPr>
        <w:t xml:space="preserve"> </w:t>
      </w:r>
      <w:r w:rsidRPr="007B155F">
        <w:rPr>
          <w:rFonts w:cs="Arial"/>
          <w:strike/>
          <w:noProof/>
          <w:szCs w:val="24"/>
        </w:rPr>
        <w:t>r</w:t>
      </w:r>
      <w:r w:rsidRPr="007B155F">
        <w:rPr>
          <w:rFonts w:cs="Arial"/>
          <w:noProof/>
          <w:szCs w:val="24"/>
        </w:rPr>
        <w:t xml:space="preserve"> </w:t>
      </w:r>
      <w:r w:rsidRPr="007B155F">
        <w:rPr>
          <w:rFonts w:cs="Arial"/>
          <w:noProof/>
          <w:szCs w:val="24"/>
          <w:u w:val="single"/>
        </w:rPr>
        <w:t>R</w:t>
      </w:r>
      <w:r w:rsidRPr="007B155F">
        <w:rPr>
          <w:rFonts w:cs="Arial"/>
          <w:noProof/>
          <w:szCs w:val="24"/>
        </w:rPr>
        <w:t xml:space="preserve">efer to Section 5.106.5.3.2 </w:t>
      </w:r>
      <w:bookmarkStart w:id="10" w:name="_Hlk66709542"/>
      <w:r w:rsidRPr="007B155F">
        <w:rPr>
          <w:rFonts w:cs="Arial"/>
          <w:noProof/>
          <w:szCs w:val="24"/>
        </w:rPr>
        <w:t xml:space="preserve">for the </w:t>
      </w:r>
      <w:r w:rsidRPr="007B155F">
        <w:rPr>
          <w:rFonts w:cs="Arial"/>
          <w:strike/>
          <w:noProof/>
          <w:szCs w:val="24"/>
        </w:rPr>
        <w:t>allowed</w:t>
      </w:r>
      <w:r w:rsidRPr="007B155F">
        <w:rPr>
          <w:rFonts w:cs="Arial"/>
          <w:noProof/>
          <w:szCs w:val="24"/>
        </w:rPr>
        <w:t xml:space="preserve"> </w:t>
      </w:r>
      <w:r w:rsidRPr="007B155F">
        <w:rPr>
          <w:rFonts w:cs="Arial"/>
          <w:noProof/>
          <w:szCs w:val="24"/>
          <w:u w:val="single"/>
        </w:rPr>
        <w:t>permitted</w:t>
      </w:r>
      <w:r w:rsidRPr="007B155F">
        <w:rPr>
          <w:rFonts w:cs="Arial"/>
          <w:noProof/>
          <w:szCs w:val="24"/>
        </w:rPr>
        <w:t xml:space="preserve"> use of Level 2 or Direct Current Fast Charger (DCFC)</w:t>
      </w:r>
      <w:bookmarkEnd w:id="10"/>
      <w:r w:rsidRPr="007B155F">
        <w:rPr>
          <w:rFonts w:cs="Arial"/>
          <w:noProof/>
          <w:szCs w:val="24"/>
        </w:rPr>
        <w:t xml:space="preserve"> </w:t>
      </w:r>
      <w:r w:rsidRPr="007B155F">
        <w:rPr>
          <w:rFonts w:cs="Arial"/>
          <w:noProof/>
          <w:szCs w:val="24"/>
          <w:u w:val="single"/>
        </w:rPr>
        <w:t>to create EVCS.</w:t>
      </w:r>
      <w:r w:rsidR="00F448ED">
        <w:rPr>
          <w:rFonts w:cs="Arial"/>
          <w:noProof/>
          <w:szCs w:val="24"/>
        </w:rPr>
        <w:t xml:space="preserve"> </w:t>
      </w:r>
      <w:r w:rsidRPr="007B155F">
        <w:rPr>
          <w:rFonts w:cs="Arial"/>
          <w:noProof/>
          <w:szCs w:val="24"/>
          <w:u w:val="single"/>
        </w:rPr>
        <w:t>Refer to Section 5.106.3.2.1 for the allowed use of DCFC to comply with both EV capable spaces and Level 2 EVSE.</w:t>
      </w:r>
      <w:r w:rsidRPr="007B155F">
        <w:rPr>
          <w:rFonts w:cs="Arial"/>
          <w:noProof/>
          <w:szCs w:val="24"/>
        </w:rPr>
        <w:t xml:space="preserve"> </w:t>
      </w:r>
      <w:r w:rsidRPr="007B155F">
        <w:rPr>
          <w:rFonts w:cs="Arial"/>
          <w:strike/>
          <w:noProof/>
          <w:szCs w:val="24"/>
        </w:rPr>
        <w:t>and</w:t>
      </w:r>
      <w:r w:rsidRPr="007B155F">
        <w:rPr>
          <w:rFonts w:cs="Arial"/>
          <w:noProof/>
          <w:szCs w:val="24"/>
        </w:rPr>
        <w:t xml:space="preserve"> </w:t>
      </w:r>
      <w:r w:rsidRPr="007B155F">
        <w:rPr>
          <w:rFonts w:cs="Arial"/>
          <w:noProof/>
          <w:szCs w:val="24"/>
          <w:u w:val="single"/>
        </w:rPr>
        <w:t>Refer to</w:t>
      </w:r>
      <w:r w:rsidRPr="007B155F">
        <w:rPr>
          <w:rFonts w:cs="Arial"/>
          <w:noProof/>
          <w:szCs w:val="24"/>
        </w:rPr>
        <w:t xml:space="preserve"> Section 5.106.5.3.3 for the allowed use of</w:t>
      </w:r>
      <w:r w:rsidR="00F448ED">
        <w:rPr>
          <w:rFonts w:cs="Arial"/>
          <w:noProof/>
          <w:szCs w:val="24"/>
        </w:rPr>
        <w:t xml:space="preserve"> </w:t>
      </w:r>
      <w:r w:rsidRPr="007B155F">
        <w:rPr>
          <w:rFonts w:cs="Arial"/>
          <w:noProof/>
          <w:szCs w:val="24"/>
        </w:rPr>
        <w:t>Automatic</w:t>
      </w:r>
      <w:r w:rsidRPr="006D5F97">
        <w:rPr>
          <w:rFonts w:cs="Arial"/>
          <w:noProof/>
          <w:szCs w:val="24"/>
        </w:rPr>
        <w:t xml:space="preserve"> Load Management System (ALMS).</w:t>
      </w:r>
      <w:bookmarkEnd w:id="9"/>
    </w:p>
    <w:p w14:paraId="692377E9" w14:textId="77777777" w:rsidR="00C418C2" w:rsidRPr="0018279A" w:rsidRDefault="00C418C2" w:rsidP="00C418C2">
      <w:pPr>
        <w:spacing w:before="120"/>
        <w:jc w:val="center"/>
        <w:rPr>
          <w:rFonts w:cs="Arial"/>
          <w:b/>
          <w:szCs w:val="24"/>
          <w:u w:val="single"/>
        </w:rPr>
      </w:pPr>
      <w:r w:rsidRPr="008A0CEA">
        <w:rPr>
          <w:rStyle w:val="StyleBold"/>
          <w:rFonts w:eastAsia="Arial Unicode MS"/>
        </w:rPr>
        <w:t xml:space="preserve">TABLE A5.106.5.3.1 </w:t>
      </w:r>
      <w:r w:rsidRPr="006D5F97">
        <w:rPr>
          <w:rFonts w:cs="Arial"/>
          <w:b/>
          <w:szCs w:val="24"/>
          <w:u w:val="single"/>
        </w:rPr>
        <w:t>Tier 1</w:t>
      </w:r>
    </w:p>
    <w:tbl>
      <w:tblPr>
        <w:tblW w:w="7285" w:type="dxa"/>
        <w:tblInd w:w="1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978"/>
        <w:gridCol w:w="2707"/>
        <w:gridCol w:w="2600"/>
      </w:tblGrid>
      <w:tr w:rsidR="00C418C2" w:rsidRPr="006D5F97" w14:paraId="6C4FA7B1" w14:textId="77777777" w:rsidTr="009506EF">
        <w:trPr>
          <w:cantSplit/>
          <w:tblHeader/>
        </w:trPr>
        <w:tc>
          <w:tcPr>
            <w:tcW w:w="1978" w:type="dxa"/>
            <w:shd w:val="clear" w:color="auto" w:fill="auto"/>
          </w:tcPr>
          <w:p w14:paraId="10BC1C8F" w14:textId="77777777" w:rsidR="00C418C2" w:rsidRPr="0063433F" w:rsidRDefault="00C418C2" w:rsidP="009506EF">
            <w:pPr>
              <w:spacing w:before="120"/>
              <w:jc w:val="center"/>
              <w:rPr>
                <w:rFonts w:eastAsia="Calibri" w:cs="Arial"/>
                <w:b/>
                <w:noProof/>
                <w:sz w:val="22"/>
                <w:szCs w:val="24"/>
              </w:rPr>
            </w:pPr>
            <w:r w:rsidRPr="0063433F">
              <w:rPr>
                <w:rFonts w:eastAsia="Calibri" w:cs="Arial"/>
                <w:b/>
                <w:noProof/>
                <w:sz w:val="22"/>
                <w:szCs w:val="24"/>
              </w:rPr>
              <w:t>TOTAL NUMBER OF ACTUAL PARKING SPACES</w:t>
            </w:r>
          </w:p>
        </w:tc>
        <w:tc>
          <w:tcPr>
            <w:tcW w:w="2707" w:type="dxa"/>
            <w:shd w:val="clear" w:color="auto" w:fill="auto"/>
          </w:tcPr>
          <w:p w14:paraId="1BA0578B" w14:textId="77777777" w:rsidR="00C418C2" w:rsidRPr="0063433F" w:rsidRDefault="00C418C2" w:rsidP="009506EF">
            <w:pPr>
              <w:spacing w:before="120"/>
              <w:jc w:val="center"/>
              <w:rPr>
                <w:rStyle w:val="StyleBold"/>
                <w:rFonts w:eastAsia="Calibri"/>
                <w:sz w:val="22"/>
              </w:rPr>
            </w:pPr>
            <w:r w:rsidRPr="0063433F">
              <w:rPr>
                <w:rFonts w:eastAsia="Calibri" w:cs="Arial"/>
                <w:b/>
                <w:noProof/>
                <w:sz w:val="22"/>
                <w:szCs w:val="24"/>
              </w:rPr>
              <w:t xml:space="preserve">TIER 1 </w:t>
            </w:r>
            <w:r w:rsidRPr="0063433F">
              <w:rPr>
                <w:rStyle w:val="StyleBold"/>
                <w:rFonts w:eastAsia="Calibri"/>
                <w:sz w:val="22"/>
              </w:rPr>
              <w:t>NUMBER OF REQUIRED EV CAPABLE SPACES</w:t>
            </w:r>
          </w:p>
        </w:tc>
        <w:tc>
          <w:tcPr>
            <w:tcW w:w="2600" w:type="dxa"/>
            <w:shd w:val="clear" w:color="auto" w:fill="auto"/>
          </w:tcPr>
          <w:p w14:paraId="714B2ECF" w14:textId="77777777" w:rsidR="00C418C2" w:rsidRPr="0063433F" w:rsidRDefault="00C418C2" w:rsidP="009506EF">
            <w:pPr>
              <w:spacing w:before="120"/>
              <w:jc w:val="center"/>
              <w:rPr>
                <w:rFonts w:eastAsia="Calibri" w:cs="Arial"/>
                <w:bCs/>
                <w:sz w:val="22"/>
                <w:szCs w:val="24"/>
              </w:rPr>
            </w:pPr>
            <w:r w:rsidRPr="0063433F">
              <w:rPr>
                <w:rFonts w:eastAsia="Calibri" w:cs="Arial"/>
                <w:b/>
                <w:noProof/>
                <w:sz w:val="22"/>
                <w:szCs w:val="24"/>
              </w:rPr>
              <w:t xml:space="preserve">TIER 1 </w:t>
            </w:r>
            <w:r w:rsidRPr="0063433F">
              <w:rPr>
                <w:rFonts w:eastAsia="Calibri" w:cs="Arial"/>
                <w:b/>
                <w:color w:val="000000"/>
                <w:sz w:val="22"/>
                <w:szCs w:val="24"/>
              </w:rPr>
              <w:t>NUMBER OF EVCS (EV CAPABLE SPACES PROVIDED WITH EVSE)</w:t>
            </w:r>
            <w:r w:rsidRPr="0063433F">
              <w:rPr>
                <w:rFonts w:eastAsia="Calibri" w:cs="Arial"/>
                <w:color w:val="000000"/>
                <w:sz w:val="22"/>
                <w:szCs w:val="24"/>
                <w:vertAlign w:val="superscript"/>
              </w:rPr>
              <w:t xml:space="preserve"> </w:t>
            </w:r>
            <w:r w:rsidRPr="0063433F">
              <w:rPr>
                <w:rFonts w:eastAsia="Calibri" w:cs="Arial"/>
                <w:b/>
                <w:bCs/>
                <w:color w:val="000000"/>
                <w:sz w:val="22"/>
                <w:szCs w:val="24"/>
                <w:vertAlign w:val="superscript"/>
              </w:rPr>
              <w:t>2</w:t>
            </w:r>
            <w:r w:rsidRPr="0063433F">
              <w:rPr>
                <w:rFonts w:eastAsia="Calibri" w:cs="Arial"/>
                <w:color w:val="000000"/>
                <w:sz w:val="22"/>
                <w:szCs w:val="24"/>
                <w:u w:val="single"/>
                <w:vertAlign w:val="superscript"/>
              </w:rPr>
              <w:t xml:space="preserve">, </w:t>
            </w:r>
            <w:r w:rsidRPr="0063433F">
              <w:rPr>
                <w:rFonts w:eastAsia="Calibri" w:cs="Arial"/>
                <w:b/>
                <w:bCs/>
                <w:color w:val="000000"/>
                <w:sz w:val="22"/>
                <w:szCs w:val="24"/>
                <w:u w:val="single"/>
                <w:vertAlign w:val="superscript"/>
              </w:rPr>
              <w:t>3</w:t>
            </w:r>
          </w:p>
        </w:tc>
      </w:tr>
      <w:tr w:rsidR="00C418C2" w:rsidRPr="006D5F97" w14:paraId="093BE6A3" w14:textId="77777777" w:rsidTr="009506EF">
        <w:trPr>
          <w:cantSplit/>
          <w:trHeight w:val="251"/>
        </w:trPr>
        <w:tc>
          <w:tcPr>
            <w:tcW w:w="1978" w:type="dxa"/>
            <w:shd w:val="clear" w:color="auto" w:fill="auto"/>
          </w:tcPr>
          <w:p w14:paraId="46E1321A"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0-9</w:t>
            </w:r>
          </w:p>
        </w:tc>
        <w:tc>
          <w:tcPr>
            <w:tcW w:w="2707" w:type="dxa"/>
            <w:shd w:val="clear" w:color="auto" w:fill="auto"/>
          </w:tcPr>
          <w:p w14:paraId="484BF293" w14:textId="77777777" w:rsidR="00C418C2" w:rsidRPr="0063433F" w:rsidRDefault="00C418C2" w:rsidP="009506EF">
            <w:pPr>
              <w:spacing w:before="120"/>
              <w:jc w:val="center"/>
              <w:rPr>
                <w:rFonts w:eastAsia="Calibri" w:cs="Arial"/>
                <w:bCs/>
                <w:strike/>
                <w:noProof/>
                <w:sz w:val="22"/>
                <w:szCs w:val="24"/>
              </w:rPr>
            </w:pPr>
            <w:r w:rsidRPr="0063433F">
              <w:rPr>
                <w:rFonts w:eastAsia="Calibri" w:cs="Arial"/>
                <w:bCs/>
                <w:noProof/>
                <w:sz w:val="22"/>
                <w:szCs w:val="24"/>
              </w:rPr>
              <w:t>2</w:t>
            </w:r>
          </w:p>
        </w:tc>
        <w:tc>
          <w:tcPr>
            <w:tcW w:w="2600" w:type="dxa"/>
            <w:shd w:val="clear" w:color="auto" w:fill="auto"/>
          </w:tcPr>
          <w:p w14:paraId="24A5D728"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 xml:space="preserve">0 </w:t>
            </w:r>
          </w:p>
        </w:tc>
      </w:tr>
      <w:tr w:rsidR="00C418C2" w:rsidRPr="006D5F97" w14:paraId="65C23386" w14:textId="77777777" w:rsidTr="009506EF">
        <w:trPr>
          <w:cantSplit/>
          <w:trHeight w:val="251"/>
        </w:trPr>
        <w:tc>
          <w:tcPr>
            <w:tcW w:w="1978" w:type="dxa"/>
            <w:shd w:val="clear" w:color="auto" w:fill="auto"/>
          </w:tcPr>
          <w:p w14:paraId="5A0BAB2B"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10-25</w:t>
            </w:r>
          </w:p>
        </w:tc>
        <w:tc>
          <w:tcPr>
            <w:tcW w:w="2707" w:type="dxa"/>
            <w:shd w:val="clear" w:color="auto" w:fill="auto"/>
          </w:tcPr>
          <w:p w14:paraId="0CB2740E" w14:textId="77777777" w:rsidR="00C418C2" w:rsidRPr="0063433F" w:rsidRDefault="00C418C2" w:rsidP="009506EF">
            <w:pPr>
              <w:spacing w:before="120"/>
              <w:jc w:val="center"/>
              <w:rPr>
                <w:rFonts w:eastAsia="Calibri" w:cs="Arial"/>
                <w:bCs/>
                <w:strike/>
                <w:noProof/>
                <w:sz w:val="22"/>
                <w:szCs w:val="24"/>
              </w:rPr>
            </w:pPr>
            <w:r w:rsidRPr="0063433F">
              <w:rPr>
                <w:rFonts w:eastAsia="Calibri" w:cs="Arial"/>
                <w:bCs/>
                <w:noProof/>
                <w:sz w:val="22"/>
                <w:szCs w:val="24"/>
              </w:rPr>
              <w:t>5</w:t>
            </w:r>
          </w:p>
        </w:tc>
        <w:tc>
          <w:tcPr>
            <w:tcW w:w="2600" w:type="dxa"/>
            <w:shd w:val="clear" w:color="auto" w:fill="auto"/>
          </w:tcPr>
          <w:p w14:paraId="351AF1FC"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 xml:space="preserve">2 </w:t>
            </w:r>
          </w:p>
        </w:tc>
      </w:tr>
      <w:tr w:rsidR="00C418C2" w:rsidRPr="006D5F97" w14:paraId="416D618A" w14:textId="77777777" w:rsidTr="009506EF">
        <w:trPr>
          <w:cantSplit/>
          <w:trHeight w:val="251"/>
        </w:trPr>
        <w:tc>
          <w:tcPr>
            <w:tcW w:w="1978" w:type="dxa"/>
            <w:shd w:val="clear" w:color="auto" w:fill="auto"/>
          </w:tcPr>
          <w:p w14:paraId="663F99DB"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26-50</w:t>
            </w:r>
          </w:p>
        </w:tc>
        <w:tc>
          <w:tcPr>
            <w:tcW w:w="2707" w:type="dxa"/>
            <w:shd w:val="clear" w:color="auto" w:fill="auto"/>
          </w:tcPr>
          <w:p w14:paraId="30FE6244" w14:textId="77777777" w:rsidR="00C418C2" w:rsidRPr="0063433F" w:rsidRDefault="00C418C2" w:rsidP="009506EF">
            <w:pPr>
              <w:spacing w:before="120"/>
              <w:jc w:val="center"/>
              <w:rPr>
                <w:rFonts w:eastAsia="Calibri" w:cs="Arial"/>
                <w:bCs/>
                <w:strike/>
                <w:noProof/>
                <w:sz w:val="22"/>
                <w:szCs w:val="24"/>
              </w:rPr>
            </w:pPr>
            <w:r w:rsidRPr="0063433F">
              <w:rPr>
                <w:rFonts w:eastAsia="Calibri" w:cs="Arial"/>
                <w:bCs/>
                <w:noProof/>
                <w:sz w:val="22"/>
                <w:szCs w:val="24"/>
              </w:rPr>
              <w:t>11</w:t>
            </w:r>
          </w:p>
        </w:tc>
        <w:tc>
          <w:tcPr>
            <w:tcW w:w="2600" w:type="dxa"/>
            <w:shd w:val="clear" w:color="auto" w:fill="auto"/>
          </w:tcPr>
          <w:p w14:paraId="2A0CA046" w14:textId="77777777" w:rsidR="00C418C2" w:rsidRPr="0063433F" w:rsidRDefault="00C418C2" w:rsidP="009506EF">
            <w:pPr>
              <w:spacing w:before="120"/>
              <w:jc w:val="center"/>
              <w:rPr>
                <w:rFonts w:eastAsia="Calibri" w:cs="Arial"/>
                <w:bCs/>
                <w:strike/>
                <w:noProof/>
                <w:sz w:val="22"/>
                <w:szCs w:val="24"/>
              </w:rPr>
            </w:pPr>
            <w:r w:rsidRPr="0063433F">
              <w:rPr>
                <w:rFonts w:eastAsia="Calibri" w:cs="Arial"/>
                <w:bCs/>
                <w:strike/>
                <w:noProof/>
                <w:sz w:val="22"/>
                <w:szCs w:val="24"/>
              </w:rPr>
              <w:t>4</w:t>
            </w:r>
          </w:p>
        </w:tc>
      </w:tr>
      <w:tr w:rsidR="00C418C2" w:rsidRPr="006D5F97" w14:paraId="169B782C" w14:textId="77777777" w:rsidTr="009506EF">
        <w:trPr>
          <w:cantSplit/>
          <w:trHeight w:val="287"/>
        </w:trPr>
        <w:tc>
          <w:tcPr>
            <w:tcW w:w="1978" w:type="dxa"/>
            <w:shd w:val="clear" w:color="auto" w:fill="auto"/>
          </w:tcPr>
          <w:p w14:paraId="1C43C93F"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51-75</w:t>
            </w:r>
          </w:p>
        </w:tc>
        <w:tc>
          <w:tcPr>
            <w:tcW w:w="2707" w:type="dxa"/>
            <w:shd w:val="clear" w:color="auto" w:fill="auto"/>
          </w:tcPr>
          <w:p w14:paraId="6F8C2EC1" w14:textId="77777777" w:rsidR="00C418C2" w:rsidRPr="0063433F" w:rsidRDefault="00C418C2" w:rsidP="009506EF">
            <w:pPr>
              <w:spacing w:before="120"/>
              <w:jc w:val="center"/>
              <w:rPr>
                <w:rFonts w:eastAsia="Calibri" w:cs="Arial"/>
                <w:bCs/>
                <w:strike/>
                <w:noProof/>
                <w:sz w:val="22"/>
                <w:szCs w:val="24"/>
              </w:rPr>
            </w:pPr>
            <w:r w:rsidRPr="0063433F">
              <w:rPr>
                <w:rFonts w:eastAsia="Calibri" w:cs="Arial"/>
                <w:bCs/>
                <w:noProof/>
                <w:sz w:val="22"/>
                <w:szCs w:val="24"/>
              </w:rPr>
              <w:t>19</w:t>
            </w:r>
          </w:p>
        </w:tc>
        <w:tc>
          <w:tcPr>
            <w:tcW w:w="2600" w:type="dxa"/>
            <w:shd w:val="clear" w:color="auto" w:fill="auto"/>
          </w:tcPr>
          <w:p w14:paraId="6FEA9D25" w14:textId="77777777" w:rsidR="00C418C2" w:rsidRPr="0063433F" w:rsidRDefault="00C418C2" w:rsidP="009506EF">
            <w:pPr>
              <w:spacing w:before="120"/>
              <w:jc w:val="center"/>
              <w:rPr>
                <w:rFonts w:eastAsia="Calibri" w:cs="Arial"/>
                <w:bCs/>
                <w:sz w:val="22"/>
                <w:szCs w:val="24"/>
              </w:rPr>
            </w:pPr>
            <w:r w:rsidRPr="0063433F">
              <w:rPr>
                <w:rFonts w:eastAsia="Calibri" w:cs="Arial"/>
                <w:bCs/>
                <w:noProof/>
                <w:sz w:val="22"/>
                <w:szCs w:val="24"/>
              </w:rPr>
              <w:t>6</w:t>
            </w:r>
          </w:p>
        </w:tc>
      </w:tr>
      <w:tr w:rsidR="00C418C2" w:rsidRPr="006D5F97" w14:paraId="39D3AC64" w14:textId="77777777" w:rsidTr="009506EF">
        <w:trPr>
          <w:cantSplit/>
          <w:trHeight w:val="314"/>
        </w:trPr>
        <w:tc>
          <w:tcPr>
            <w:tcW w:w="1978" w:type="dxa"/>
            <w:shd w:val="clear" w:color="auto" w:fill="auto"/>
          </w:tcPr>
          <w:p w14:paraId="655E00D4"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76-100</w:t>
            </w:r>
          </w:p>
        </w:tc>
        <w:tc>
          <w:tcPr>
            <w:tcW w:w="2707" w:type="dxa"/>
            <w:shd w:val="clear" w:color="auto" w:fill="auto"/>
          </w:tcPr>
          <w:p w14:paraId="6252C4D7" w14:textId="77777777" w:rsidR="00C418C2" w:rsidRPr="0063433F" w:rsidRDefault="00C418C2" w:rsidP="009506EF">
            <w:pPr>
              <w:spacing w:before="120"/>
              <w:jc w:val="center"/>
              <w:rPr>
                <w:rFonts w:eastAsia="Calibri" w:cs="Arial"/>
                <w:bCs/>
                <w:strike/>
                <w:noProof/>
                <w:sz w:val="22"/>
                <w:szCs w:val="24"/>
              </w:rPr>
            </w:pPr>
            <w:r w:rsidRPr="0063433F">
              <w:rPr>
                <w:rFonts w:eastAsia="Calibri" w:cs="Arial"/>
                <w:bCs/>
                <w:noProof/>
                <w:sz w:val="22"/>
                <w:szCs w:val="24"/>
              </w:rPr>
              <w:t>26</w:t>
            </w:r>
          </w:p>
        </w:tc>
        <w:tc>
          <w:tcPr>
            <w:tcW w:w="2600" w:type="dxa"/>
            <w:shd w:val="clear" w:color="auto" w:fill="auto"/>
          </w:tcPr>
          <w:p w14:paraId="1C5667AA"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9</w:t>
            </w:r>
          </w:p>
        </w:tc>
      </w:tr>
      <w:tr w:rsidR="00C418C2" w:rsidRPr="006D5F97" w14:paraId="34D609F1" w14:textId="77777777" w:rsidTr="009506EF">
        <w:trPr>
          <w:cantSplit/>
          <w:trHeight w:val="260"/>
        </w:trPr>
        <w:tc>
          <w:tcPr>
            <w:tcW w:w="1978" w:type="dxa"/>
            <w:shd w:val="clear" w:color="auto" w:fill="auto"/>
          </w:tcPr>
          <w:p w14:paraId="088944AF"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101-150</w:t>
            </w:r>
          </w:p>
        </w:tc>
        <w:tc>
          <w:tcPr>
            <w:tcW w:w="2707" w:type="dxa"/>
            <w:shd w:val="clear" w:color="auto" w:fill="auto"/>
          </w:tcPr>
          <w:p w14:paraId="151CA493" w14:textId="77777777" w:rsidR="00C418C2" w:rsidRPr="0063433F" w:rsidRDefault="00C418C2" w:rsidP="009506EF">
            <w:pPr>
              <w:spacing w:before="120"/>
              <w:jc w:val="center"/>
              <w:rPr>
                <w:rFonts w:eastAsia="Calibri" w:cs="Arial"/>
                <w:bCs/>
                <w:strike/>
                <w:noProof/>
                <w:sz w:val="22"/>
                <w:szCs w:val="24"/>
              </w:rPr>
            </w:pPr>
            <w:r w:rsidRPr="0063433F">
              <w:rPr>
                <w:rFonts w:eastAsia="Calibri" w:cs="Arial"/>
                <w:bCs/>
                <w:noProof/>
                <w:sz w:val="22"/>
                <w:szCs w:val="24"/>
              </w:rPr>
              <w:t>38</w:t>
            </w:r>
          </w:p>
        </w:tc>
        <w:tc>
          <w:tcPr>
            <w:tcW w:w="2600" w:type="dxa"/>
            <w:shd w:val="clear" w:color="auto" w:fill="auto"/>
          </w:tcPr>
          <w:p w14:paraId="06E25B52"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13</w:t>
            </w:r>
          </w:p>
        </w:tc>
      </w:tr>
      <w:tr w:rsidR="00C418C2" w:rsidRPr="006D5F97" w14:paraId="1F0999DA" w14:textId="77777777" w:rsidTr="009506EF">
        <w:trPr>
          <w:cantSplit/>
          <w:trHeight w:val="287"/>
        </w:trPr>
        <w:tc>
          <w:tcPr>
            <w:tcW w:w="1978" w:type="dxa"/>
            <w:shd w:val="clear" w:color="auto" w:fill="auto"/>
          </w:tcPr>
          <w:p w14:paraId="12484263"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151-200</w:t>
            </w:r>
          </w:p>
        </w:tc>
        <w:tc>
          <w:tcPr>
            <w:tcW w:w="2707" w:type="dxa"/>
            <w:shd w:val="clear" w:color="auto" w:fill="auto"/>
          </w:tcPr>
          <w:p w14:paraId="79278FA7" w14:textId="77777777" w:rsidR="00C418C2" w:rsidRPr="0063433F" w:rsidRDefault="00C418C2" w:rsidP="009506EF">
            <w:pPr>
              <w:spacing w:before="120"/>
              <w:jc w:val="center"/>
              <w:rPr>
                <w:rFonts w:eastAsia="Calibri" w:cs="Arial"/>
                <w:bCs/>
                <w:strike/>
                <w:noProof/>
                <w:sz w:val="22"/>
                <w:szCs w:val="24"/>
              </w:rPr>
            </w:pPr>
            <w:r w:rsidRPr="0063433F">
              <w:rPr>
                <w:rFonts w:eastAsia="Calibri" w:cs="Arial"/>
                <w:bCs/>
                <w:noProof/>
                <w:sz w:val="22"/>
                <w:szCs w:val="24"/>
              </w:rPr>
              <w:t>53</w:t>
            </w:r>
          </w:p>
        </w:tc>
        <w:tc>
          <w:tcPr>
            <w:tcW w:w="2600" w:type="dxa"/>
            <w:shd w:val="clear" w:color="auto" w:fill="auto"/>
          </w:tcPr>
          <w:p w14:paraId="7DBEE2A4"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18</w:t>
            </w:r>
          </w:p>
        </w:tc>
      </w:tr>
      <w:tr w:rsidR="00C418C2" w:rsidRPr="006D5F97" w14:paraId="59532F07" w14:textId="77777777" w:rsidTr="009506EF">
        <w:trPr>
          <w:cantSplit/>
          <w:trHeight w:val="818"/>
        </w:trPr>
        <w:tc>
          <w:tcPr>
            <w:tcW w:w="1978" w:type="dxa"/>
            <w:shd w:val="clear" w:color="auto" w:fill="auto"/>
          </w:tcPr>
          <w:p w14:paraId="4E6005CE"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noProof/>
                <w:sz w:val="22"/>
                <w:szCs w:val="24"/>
              </w:rPr>
              <w:t>201 and over</w:t>
            </w:r>
          </w:p>
        </w:tc>
        <w:tc>
          <w:tcPr>
            <w:tcW w:w="2707" w:type="dxa"/>
            <w:shd w:val="clear" w:color="auto" w:fill="auto"/>
          </w:tcPr>
          <w:p w14:paraId="54CB7FDC" w14:textId="77777777" w:rsidR="00C418C2" w:rsidRPr="0063433F" w:rsidRDefault="00C418C2" w:rsidP="009506EF">
            <w:pPr>
              <w:spacing w:before="120"/>
              <w:jc w:val="center"/>
              <w:rPr>
                <w:rFonts w:eastAsia="Calibri" w:cs="Arial"/>
                <w:bCs/>
                <w:noProof/>
                <w:sz w:val="22"/>
                <w:szCs w:val="24"/>
              </w:rPr>
            </w:pPr>
            <w:r w:rsidRPr="0063433F">
              <w:rPr>
                <w:rFonts w:eastAsia="Calibri" w:cs="Arial"/>
                <w:bCs/>
                <w:sz w:val="22"/>
                <w:szCs w:val="24"/>
              </w:rPr>
              <w:t xml:space="preserve">30 percent of </w:t>
            </w:r>
            <w:r w:rsidRPr="0063433F">
              <w:rPr>
                <w:rFonts w:eastAsia="Calibri" w:cs="Arial"/>
                <w:bCs/>
                <w:sz w:val="22"/>
                <w:szCs w:val="24"/>
                <w:u w:val="single"/>
              </w:rPr>
              <w:t>actual</w:t>
            </w:r>
            <w:r w:rsidRPr="0063433F">
              <w:rPr>
                <w:rFonts w:eastAsia="Calibri" w:cs="Arial"/>
                <w:bCs/>
                <w:sz w:val="22"/>
                <w:szCs w:val="24"/>
              </w:rPr>
              <w:t xml:space="preserve"> </w:t>
            </w:r>
            <w:r w:rsidRPr="0063433F">
              <w:rPr>
                <w:rFonts w:eastAsia="Calibri" w:cs="Arial"/>
                <w:bCs/>
                <w:strike/>
                <w:sz w:val="22"/>
                <w:szCs w:val="24"/>
              </w:rPr>
              <w:t xml:space="preserve">total </w:t>
            </w:r>
            <w:r w:rsidRPr="0063433F">
              <w:rPr>
                <w:rFonts w:eastAsia="Calibri" w:cs="Arial"/>
                <w:bCs/>
                <w:sz w:val="22"/>
                <w:szCs w:val="24"/>
              </w:rPr>
              <w:t>parking spaces</w:t>
            </w:r>
            <w:r w:rsidRPr="0063433F">
              <w:rPr>
                <w:rFonts w:eastAsia="Calibri" w:cs="Arial"/>
                <w:bCs/>
                <w:sz w:val="22"/>
                <w:szCs w:val="24"/>
                <w:vertAlign w:val="superscript"/>
              </w:rPr>
              <w:t>1</w:t>
            </w:r>
          </w:p>
        </w:tc>
        <w:tc>
          <w:tcPr>
            <w:tcW w:w="2600" w:type="dxa"/>
            <w:shd w:val="clear" w:color="auto" w:fill="auto"/>
          </w:tcPr>
          <w:p w14:paraId="1DF4F477" w14:textId="77777777" w:rsidR="00C418C2" w:rsidRPr="0063433F" w:rsidRDefault="00C418C2" w:rsidP="009506EF">
            <w:pPr>
              <w:jc w:val="center"/>
              <w:rPr>
                <w:rFonts w:eastAsia="Calibri" w:cs="Arial"/>
                <w:bCs/>
                <w:sz w:val="22"/>
                <w:szCs w:val="24"/>
              </w:rPr>
            </w:pPr>
            <w:r w:rsidRPr="0063433F">
              <w:rPr>
                <w:rFonts w:eastAsia="Calibri" w:cs="Arial"/>
                <w:bCs/>
                <w:sz w:val="22"/>
                <w:szCs w:val="24"/>
              </w:rPr>
              <w:t xml:space="preserve">33 percent of EV capable spaces </w:t>
            </w:r>
            <w:r w:rsidRPr="0063433F">
              <w:rPr>
                <w:rFonts w:eastAsia="Calibri" w:cs="Arial"/>
                <w:bCs/>
                <w:sz w:val="22"/>
                <w:szCs w:val="24"/>
                <w:vertAlign w:val="superscript"/>
              </w:rPr>
              <w:t>1</w:t>
            </w:r>
          </w:p>
        </w:tc>
      </w:tr>
    </w:tbl>
    <w:p w14:paraId="6740096A" w14:textId="77777777" w:rsidR="00C418C2" w:rsidRPr="00027F66" w:rsidRDefault="00C418C2" w:rsidP="00AE7B84">
      <w:pPr>
        <w:numPr>
          <w:ilvl w:val="0"/>
          <w:numId w:val="13"/>
        </w:numPr>
        <w:spacing w:before="120" w:after="120"/>
        <w:ind w:left="1080" w:firstLine="0"/>
        <w:rPr>
          <w:rFonts w:eastAsia="Batang" w:cs="Arial"/>
          <w:color w:val="000000"/>
          <w:sz w:val="22"/>
          <w:szCs w:val="22"/>
        </w:rPr>
      </w:pPr>
      <w:r w:rsidRPr="00027F66">
        <w:rPr>
          <w:rFonts w:eastAsia="Batang" w:cs="Arial"/>
          <w:color w:val="000000"/>
          <w:sz w:val="22"/>
          <w:szCs w:val="22"/>
        </w:rPr>
        <w:t>Calculation for spaces shall be rounded up to the nearest whole number.</w:t>
      </w:r>
    </w:p>
    <w:p w14:paraId="6269857D" w14:textId="7B74C5D0" w:rsidR="00DD7785" w:rsidRPr="00DD7785" w:rsidRDefault="00C418C2" w:rsidP="00DD7785">
      <w:pPr>
        <w:numPr>
          <w:ilvl w:val="0"/>
          <w:numId w:val="13"/>
        </w:numPr>
        <w:spacing w:before="120"/>
        <w:ind w:left="1440" w:hanging="360"/>
        <w:contextualSpacing/>
        <w:rPr>
          <w:rStyle w:val="Additions"/>
          <w:rFonts w:eastAsia="Batang"/>
          <w:sz w:val="22"/>
          <w:szCs w:val="22"/>
        </w:rPr>
      </w:pPr>
      <w:r w:rsidRPr="00DD7785">
        <w:rPr>
          <w:rStyle w:val="Deletions"/>
          <w:rFonts w:eastAsia="Batang"/>
          <w:sz w:val="22"/>
          <w:szCs w:val="22"/>
        </w:rPr>
        <w:t>The number of required EVCS (EV capable spaces provided with EVSE) in column 3 count toward the total number of required EV capable spaces shown in column 2.</w:t>
      </w:r>
      <w:r w:rsidR="00DD7785" w:rsidRPr="00DD7785">
        <w:rPr>
          <w:rFonts w:eastAsia="Batang" w:cs="Arial"/>
          <w:color w:val="000000"/>
          <w:sz w:val="22"/>
          <w:szCs w:val="22"/>
        </w:rPr>
        <w:t xml:space="preserve"> </w:t>
      </w:r>
      <w:r w:rsidR="00DD7785" w:rsidRPr="00DD7785">
        <w:rPr>
          <w:rStyle w:val="Additions"/>
          <w:sz w:val="22"/>
          <w:szCs w:val="22"/>
        </w:rPr>
        <w:t>Each EVCS shall reduce the number of required EV capable spaces by the same number.</w:t>
      </w:r>
    </w:p>
    <w:p w14:paraId="4B27396C" w14:textId="77777777" w:rsidR="00C418C2" w:rsidRPr="00027F66" w:rsidRDefault="00C418C2" w:rsidP="00AE7B84">
      <w:pPr>
        <w:numPr>
          <w:ilvl w:val="0"/>
          <w:numId w:val="13"/>
        </w:numPr>
        <w:spacing w:before="120"/>
        <w:ind w:left="1080" w:firstLine="0"/>
        <w:contextualSpacing/>
        <w:rPr>
          <w:rFonts w:eastAsia="Batang" w:cs="Arial"/>
          <w:color w:val="000000"/>
          <w:sz w:val="22"/>
          <w:szCs w:val="22"/>
        </w:rPr>
      </w:pPr>
      <w:r w:rsidRPr="00027F66">
        <w:rPr>
          <w:rFonts w:eastAsia="Batang" w:cs="Arial"/>
          <w:color w:val="000000"/>
          <w:sz w:val="22"/>
          <w:szCs w:val="22"/>
        </w:rPr>
        <w:t xml:space="preserve"> </w:t>
      </w:r>
      <w:r w:rsidRPr="00027F66">
        <w:rPr>
          <w:rFonts w:cs="Arial"/>
          <w:sz w:val="22"/>
          <w:szCs w:val="22"/>
          <w:u w:val="single"/>
        </w:rPr>
        <w:t xml:space="preserve">At least one Level 2 EVSE shall be provided. </w:t>
      </w:r>
    </w:p>
    <w:p w14:paraId="3AD2B5E8" w14:textId="77777777" w:rsidR="00C418C2" w:rsidRDefault="00C418C2" w:rsidP="00C418C2">
      <w:pPr>
        <w:spacing w:before="120"/>
        <w:ind w:left="720"/>
        <w:rPr>
          <w:rStyle w:val="StyleBold"/>
          <w:rFonts w:eastAsia="Arial Unicode MS"/>
        </w:rPr>
      </w:pPr>
    </w:p>
    <w:p w14:paraId="6BB65577" w14:textId="77777777" w:rsidR="007449C6" w:rsidRPr="00266CDC" w:rsidRDefault="007449C6" w:rsidP="007449C6">
      <w:pPr>
        <w:ind w:left="720"/>
        <w:rPr>
          <w:rStyle w:val="StyleBold"/>
          <w:rFonts w:eastAsia="Arial Unicode MS"/>
        </w:rPr>
      </w:pPr>
    </w:p>
    <w:p w14:paraId="63106304" w14:textId="77777777" w:rsidR="00C418C2" w:rsidRDefault="00C418C2" w:rsidP="009506EF">
      <w:pPr>
        <w:spacing w:before="120"/>
        <w:rPr>
          <w:rStyle w:val="StyleBold"/>
          <w:rFonts w:eastAsia="Arial Unicode MS"/>
        </w:rPr>
      </w:pPr>
      <w:r w:rsidRPr="007B155F">
        <w:rPr>
          <w:b/>
          <w:bCs/>
        </w:rPr>
        <w:t>Appendix A</w:t>
      </w:r>
      <w:r>
        <w:rPr>
          <w:b/>
          <w:bCs/>
        </w:rPr>
        <w:t>5</w:t>
      </w:r>
      <w:r w:rsidRPr="007B155F">
        <w:rPr>
          <w:b/>
          <w:bCs/>
        </w:rPr>
        <w:t xml:space="preserve"> </w:t>
      </w:r>
      <w:r>
        <w:rPr>
          <w:b/>
          <w:bCs/>
        </w:rPr>
        <w:t>Nonr</w:t>
      </w:r>
      <w:r w:rsidRPr="007B155F">
        <w:rPr>
          <w:b/>
          <w:bCs/>
        </w:rPr>
        <w:t>esidential Voluntary Measures</w:t>
      </w:r>
      <w:r>
        <w:rPr>
          <w:b/>
          <w:bCs/>
        </w:rPr>
        <w:t>,</w:t>
      </w:r>
      <w:r w:rsidRPr="007B155F">
        <w:rPr>
          <w:b/>
          <w:bCs/>
        </w:rPr>
        <w:t xml:space="preserve"> </w:t>
      </w:r>
      <w:r>
        <w:rPr>
          <w:b/>
          <w:bCs/>
        </w:rPr>
        <w:t>Section A5.</w:t>
      </w:r>
      <w:r w:rsidRPr="007B155F">
        <w:rPr>
          <w:b/>
          <w:bCs/>
        </w:rPr>
        <w:t>106.5.</w:t>
      </w:r>
      <w:r>
        <w:rPr>
          <w:b/>
          <w:bCs/>
        </w:rPr>
        <w:t xml:space="preserve">3.2 </w:t>
      </w:r>
      <w:r w:rsidRPr="00C01C5B">
        <w:t xml:space="preserve">is deleted in its entirety and replaced </w:t>
      </w:r>
      <w:r>
        <w:t xml:space="preserve">with mandatory requirements </w:t>
      </w:r>
      <w:r w:rsidRPr="00C01C5B">
        <w:t>to read as</w:t>
      </w:r>
      <w:r>
        <w:t xml:space="preserve"> follows:</w:t>
      </w:r>
    </w:p>
    <w:p w14:paraId="06B38ABD" w14:textId="79A9AC9F" w:rsidR="00C418C2" w:rsidRPr="006D5F97" w:rsidRDefault="00C418C2" w:rsidP="009506EF">
      <w:pPr>
        <w:spacing w:before="120"/>
        <w:ind w:left="720"/>
        <w:rPr>
          <w:rFonts w:cs="Arial"/>
          <w:szCs w:val="24"/>
          <w:u w:val="single"/>
        </w:rPr>
      </w:pPr>
      <w:r w:rsidRPr="00C01C5B">
        <w:rPr>
          <w:rStyle w:val="StyleBold"/>
          <w:rFonts w:eastAsia="Arial Unicode MS"/>
          <w:u w:val="single"/>
        </w:rPr>
        <w:t xml:space="preserve">A5.106.5.3.2 </w:t>
      </w:r>
      <w:bookmarkStart w:id="11" w:name="_Hlk116982991"/>
      <w:r w:rsidRPr="00C65F9B">
        <w:rPr>
          <w:rFonts w:cs="Arial"/>
          <w:b/>
          <w:bCs/>
          <w:szCs w:val="24"/>
          <w:u w:val="single"/>
        </w:rPr>
        <w:t>Electric</w:t>
      </w:r>
      <w:r w:rsidRPr="006D5F97">
        <w:rPr>
          <w:rFonts w:cs="Arial"/>
          <w:b/>
          <w:bCs/>
          <w:szCs w:val="24"/>
          <w:u w:val="single"/>
        </w:rPr>
        <w:t xml:space="preserve"> vehicle charging stations (EVCS)-Power allocation method</w:t>
      </w:r>
      <w:bookmarkEnd w:id="11"/>
      <w:r w:rsidRPr="003F4EDD">
        <w:rPr>
          <w:rFonts w:cs="Arial"/>
          <w:b/>
          <w:bCs/>
          <w:szCs w:val="24"/>
          <w:u w:val="single"/>
        </w:rPr>
        <w:t>.</w:t>
      </w:r>
      <w:r w:rsidRPr="003F4EDD">
        <w:rPr>
          <w:rFonts w:cs="Arial"/>
          <w:szCs w:val="24"/>
          <w:u w:val="single"/>
        </w:rPr>
        <w:t xml:space="preserve"> The Power allocation method may be used as an alternative to the requirements in </w:t>
      </w:r>
      <w:r w:rsidRPr="001B45E1">
        <w:rPr>
          <w:rFonts w:cs="Arial"/>
          <w:szCs w:val="24"/>
          <w:u w:val="single"/>
        </w:rPr>
        <w:t>Section 5.106.5.3.1,</w:t>
      </w:r>
      <w:r>
        <w:rPr>
          <w:rFonts w:cs="Arial"/>
          <w:szCs w:val="24"/>
          <w:u w:val="single"/>
        </w:rPr>
        <w:t xml:space="preserve"> </w:t>
      </w:r>
      <w:r w:rsidRPr="00A37130">
        <w:rPr>
          <w:rFonts w:cs="Arial"/>
          <w:szCs w:val="24"/>
          <w:u w:val="single"/>
        </w:rPr>
        <w:t>Section 5.106.5.3.2 and</w:t>
      </w:r>
      <w:r w:rsidRPr="003F4EDD">
        <w:rPr>
          <w:rFonts w:cs="Arial"/>
          <w:szCs w:val="24"/>
          <w:u w:val="single"/>
        </w:rPr>
        <w:t xml:space="preserve"> associated Table A5.106.5.3.1 Tier 1</w:t>
      </w:r>
      <w:r w:rsidRPr="002D7693">
        <w:rPr>
          <w:rFonts w:cs="Arial"/>
          <w:szCs w:val="24"/>
          <w:u w:val="single"/>
        </w:rPr>
        <w:t>.</w:t>
      </w:r>
      <w:r w:rsidR="00F448ED">
        <w:rPr>
          <w:rFonts w:cs="Arial"/>
          <w:szCs w:val="24"/>
          <w:u w:val="single"/>
        </w:rPr>
        <w:t xml:space="preserve"> </w:t>
      </w:r>
      <w:r w:rsidRPr="006D5F97">
        <w:rPr>
          <w:rFonts w:cs="Arial"/>
          <w:szCs w:val="24"/>
          <w:u w:val="single"/>
        </w:rPr>
        <w:t xml:space="preserve">Use Table A5.106.5.3.2 Tier 1 to determine the total power in kVA required based on the total number of actual parking spaces. </w:t>
      </w:r>
    </w:p>
    <w:p w14:paraId="30DE38EC" w14:textId="77777777" w:rsidR="00C418C2" w:rsidRPr="006D5F97" w:rsidRDefault="00C418C2" w:rsidP="009506EF">
      <w:pPr>
        <w:spacing w:before="120"/>
        <w:ind w:left="720"/>
        <w:rPr>
          <w:rFonts w:cs="Arial"/>
          <w:szCs w:val="24"/>
          <w:u w:val="single"/>
        </w:rPr>
      </w:pPr>
      <w:r w:rsidRPr="006D5F97">
        <w:rPr>
          <w:rFonts w:cs="Arial"/>
          <w:szCs w:val="24"/>
          <w:u w:val="single"/>
        </w:rPr>
        <w:t>Power allocation method shall include the following:</w:t>
      </w:r>
    </w:p>
    <w:p w14:paraId="583A7B6B" w14:textId="77777777" w:rsidR="00C418C2" w:rsidRPr="006D5F97" w:rsidRDefault="00C418C2" w:rsidP="00AE7B84">
      <w:pPr>
        <w:widowControl w:val="0"/>
        <w:numPr>
          <w:ilvl w:val="0"/>
          <w:numId w:val="14"/>
        </w:numPr>
        <w:spacing w:before="120"/>
        <w:rPr>
          <w:rFonts w:eastAsia="Batang" w:cs="Arial"/>
          <w:szCs w:val="24"/>
          <w:u w:val="single"/>
        </w:rPr>
      </w:pPr>
      <w:r w:rsidRPr="006D5F97">
        <w:rPr>
          <w:rFonts w:eastAsia="Batang" w:cs="Arial"/>
          <w:szCs w:val="24"/>
          <w:u w:val="single"/>
        </w:rPr>
        <w:t>Use any kVA combination of EV capable spaces, Low Power Level 2, Level 2 or DCFC EVSEs.</w:t>
      </w:r>
    </w:p>
    <w:p w14:paraId="569D8EDD" w14:textId="77777777" w:rsidR="00C418C2" w:rsidRPr="006D5F97" w:rsidRDefault="00C418C2" w:rsidP="00AE7B84">
      <w:pPr>
        <w:widowControl w:val="0"/>
        <w:numPr>
          <w:ilvl w:val="0"/>
          <w:numId w:val="14"/>
        </w:numPr>
        <w:spacing w:before="120"/>
        <w:ind w:left="1440"/>
        <w:rPr>
          <w:rFonts w:eastAsia="Batang" w:cs="Arial"/>
          <w:szCs w:val="24"/>
          <w:u w:val="single"/>
        </w:rPr>
      </w:pPr>
      <w:r w:rsidRPr="006D5F97">
        <w:rPr>
          <w:rFonts w:eastAsia="Batang" w:cs="Arial"/>
          <w:szCs w:val="24"/>
          <w:u w:val="single"/>
        </w:rPr>
        <w:t>At least one Level 2 EVSE shall be provided.</w:t>
      </w:r>
    </w:p>
    <w:p w14:paraId="757E89B3" w14:textId="77777777" w:rsidR="00C418C2" w:rsidRDefault="00C418C2" w:rsidP="009506EF">
      <w:pPr>
        <w:rPr>
          <w:rFonts w:eastAsia="Batang" w:cs="Arial"/>
          <w:b/>
          <w:bCs/>
          <w:szCs w:val="24"/>
          <w:u w:val="single"/>
        </w:rPr>
      </w:pPr>
    </w:p>
    <w:p w14:paraId="12759AEE" w14:textId="77777777" w:rsidR="00C418C2" w:rsidRDefault="00C418C2" w:rsidP="00C418C2">
      <w:pPr>
        <w:snapToGrid w:val="0"/>
        <w:spacing w:before="240" w:after="240" w:line="259" w:lineRule="auto"/>
        <w:contextualSpacing/>
        <w:jc w:val="center"/>
        <w:rPr>
          <w:rFonts w:eastAsia="Batang" w:cs="Arial"/>
          <w:b/>
          <w:bCs/>
          <w:szCs w:val="24"/>
          <w:u w:val="single"/>
        </w:rPr>
      </w:pPr>
      <w:r w:rsidRPr="006D5F97">
        <w:rPr>
          <w:rFonts w:eastAsia="Batang" w:cs="Arial"/>
          <w:b/>
          <w:bCs/>
          <w:szCs w:val="24"/>
          <w:u w:val="single"/>
        </w:rPr>
        <w:t>TABLE A5.106.5.3.2 Tier 1</w:t>
      </w:r>
    </w:p>
    <w:tbl>
      <w:tblPr>
        <w:tblW w:w="7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376"/>
        <w:gridCol w:w="1769"/>
        <w:gridCol w:w="4050"/>
      </w:tblGrid>
      <w:tr w:rsidR="003E6000" w:rsidRPr="00577EC9" w14:paraId="2530D4D8" w14:textId="77777777" w:rsidTr="009506EF">
        <w:trPr>
          <w:cantSplit/>
          <w:trHeight w:val="246"/>
          <w:tblHeader/>
          <w:jc w:val="center"/>
        </w:trPr>
        <w:tc>
          <w:tcPr>
            <w:tcW w:w="1376" w:type="dxa"/>
            <w:shd w:val="clear" w:color="auto" w:fill="auto"/>
          </w:tcPr>
          <w:p w14:paraId="6AAA2A4E" w14:textId="77777777" w:rsidR="003E6000" w:rsidRPr="00577EC9" w:rsidRDefault="003E6000" w:rsidP="009506EF">
            <w:pPr>
              <w:jc w:val="center"/>
              <w:rPr>
                <w:rFonts w:eastAsia="Calibri" w:cs="Arial"/>
                <w:b/>
                <w:color w:val="000000"/>
                <w:sz w:val="22"/>
                <w:u w:val="single"/>
              </w:rPr>
            </w:pPr>
            <w:r w:rsidRPr="00577EC9">
              <w:rPr>
                <w:rFonts w:eastAsia="Calibri" w:cs="Arial"/>
                <w:b/>
                <w:color w:val="000000"/>
                <w:sz w:val="22"/>
                <w:u w:val="single"/>
              </w:rPr>
              <w:t xml:space="preserve">TOTAL NUMBER OF </w:t>
            </w:r>
          </w:p>
          <w:p w14:paraId="1D25D219" w14:textId="77777777" w:rsidR="003E6000" w:rsidRPr="00577EC9" w:rsidRDefault="003E6000" w:rsidP="009506EF">
            <w:pPr>
              <w:jc w:val="center"/>
              <w:rPr>
                <w:rFonts w:eastAsia="Calibri" w:cs="Arial"/>
                <w:b/>
                <w:color w:val="000000"/>
                <w:sz w:val="22"/>
                <w:u w:val="single"/>
              </w:rPr>
            </w:pPr>
            <w:r w:rsidRPr="00577EC9">
              <w:rPr>
                <w:rFonts w:eastAsia="Calibri" w:cs="Arial"/>
                <w:b/>
                <w:color w:val="000000"/>
                <w:sz w:val="22"/>
                <w:u w:val="single"/>
              </w:rPr>
              <w:t>ACTUAL PARKING SPACES</w:t>
            </w:r>
          </w:p>
        </w:tc>
        <w:tc>
          <w:tcPr>
            <w:tcW w:w="1769" w:type="dxa"/>
            <w:shd w:val="clear" w:color="auto" w:fill="auto"/>
          </w:tcPr>
          <w:p w14:paraId="4EF9C1CD" w14:textId="77777777" w:rsidR="003E6000" w:rsidRPr="00577EC9" w:rsidRDefault="003E6000" w:rsidP="009506EF">
            <w:pPr>
              <w:jc w:val="center"/>
              <w:rPr>
                <w:rFonts w:eastAsia="Calibri" w:cs="Arial"/>
                <w:b/>
                <w:color w:val="000000"/>
                <w:sz w:val="28"/>
                <w:szCs w:val="28"/>
                <w:vertAlign w:val="superscript"/>
              </w:rPr>
            </w:pPr>
            <w:r w:rsidRPr="00577EC9">
              <w:rPr>
                <w:rFonts w:eastAsia="Calibri" w:cs="Arial"/>
                <w:b/>
                <w:color w:val="000000"/>
                <w:sz w:val="22"/>
                <w:u w:val="single"/>
              </w:rPr>
              <w:t xml:space="preserve">MINIMUM TOTAL kVA </w:t>
            </w:r>
          </w:p>
          <w:p w14:paraId="5E8CC291" w14:textId="77777777" w:rsidR="003E6000" w:rsidRPr="00577EC9" w:rsidRDefault="003E6000" w:rsidP="009506EF">
            <w:pPr>
              <w:jc w:val="center"/>
              <w:rPr>
                <w:rFonts w:eastAsia="Calibri" w:cs="Arial"/>
                <w:b/>
                <w:color w:val="000000"/>
                <w:sz w:val="22"/>
                <w:u w:val="single"/>
              </w:rPr>
            </w:pPr>
            <w:r w:rsidRPr="00577EC9">
              <w:rPr>
                <w:rFonts w:eastAsia="Calibri" w:cs="Arial"/>
                <w:b/>
                <w:color w:val="000000"/>
                <w:sz w:val="22"/>
                <w:u w:val="single"/>
              </w:rPr>
              <w:t>@ 6.6 kVA</w:t>
            </w:r>
          </w:p>
          <w:p w14:paraId="5911207F" w14:textId="77777777" w:rsidR="003E6000" w:rsidRPr="00577EC9" w:rsidRDefault="003E6000" w:rsidP="009506EF">
            <w:pPr>
              <w:jc w:val="center"/>
              <w:rPr>
                <w:rFonts w:eastAsia="Calibri" w:cs="Arial"/>
                <w:b/>
                <w:color w:val="000000"/>
                <w:sz w:val="22"/>
                <w:u w:val="single"/>
              </w:rPr>
            </w:pPr>
          </w:p>
        </w:tc>
        <w:tc>
          <w:tcPr>
            <w:tcW w:w="4050" w:type="dxa"/>
            <w:shd w:val="clear" w:color="auto" w:fill="auto"/>
          </w:tcPr>
          <w:p w14:paraId="01189097" w14:textId="77777777" w:rsidR="003E6000" w:rsidRPr="00577EC9" w:rsidRDefault="003E6000" w:rsidP="009506EF">
            <w:pPr>
              <w:jc w:val="center"/>
              <w:rPr>
                <w:rFonts w:eastAsia="Calibri" w:cs="Arial"/>
                <w:b/>
                <w:color w:val="000000"/>
                <w:sz w:val="22"/>
                <w:u w:val="single"/>
              </w:rPr>
            </w:pPr>
            <w:r w:rsidRPr="00577EC9">
              <w:rPr>
                <w:rFonts w:eastAsia="Calibri" w:cs="Arial"/>
                <w:b/>
                <w:color w:val="000000"/>
                <w:sz w:val="22"/>
                <w:u w:val="single"/>
              </w:rPr>
              <w:t>TOTAL kVA REQUIRED</w:t>
            </w:r>
          </w:p>
          <w:p w14:paraId="266FAC47" w14:textId="77777777" w:rsidR="003E6000" w:rsidRPr="00577EC9" w:rsidRDefault="003E6000" w:rsidP="009506EF">
            <w:pPr>
              <w:jc w:val="center"/>
              <w:rPr>
                <w:rFonts w:eastAsia="Calibri" w:cs="Arial"/>
                <w:b/>
                <w:color w:val="000000"/>
                <w:sz w:val="22"/>
                <w:u w:val="single"/>
              </w:rPr>
            </w:pPr>
            <w:r w:rsidRPr="00577EC9">
              <w:rPr>
                <w:rFonts w:eastAsia="Calibri" w:cs="Arial"/>
                <w:b/>
                <w:color w:val="000000"/>
                <w:sz w:val="22"/>
                <w:u w:val="single"/>
              </w:rPr>
              <w:t>IN ANY COMBINATION OF EV CAPABLE</w:t>
            </w:r>
            <w:r w:rsidRPr="00577EC9">
              <w:rPr>
                <w:rFonts w:eastAsia="Calibri" w:cs="Arial"/>
                <w:b/>
                <w:color w:val="000000"/>
                <w:sz w:val="28"/>
                <w:szCs w:val="28"/>
                <w:vertAlign w:val="superscript"/>
              </w:rPr>
              <w:t xml:space="preserve"> </w:t>
            </w:r>
            <w:r w:rsidRPr="00577EC9">
              <w:rPr>
                <w:rFonts w:eastAsia="Calibri" w:cs="Arial"/>
                <w:b/>
                <w:color w:val="000000"/>
                <w:sz w:val="28"/>
                <w:szCs w:val="28"/>
                <w:u w:val="single"/>
                <w:vertAlign w:val="superscript"/>
              </w:rPr>
              <w:t>3, 4</w:t>
            </w:r>
            <w:r w:rsidRPr="00577EC9">
              <w:rPr>
                <w:rFonts w:eastAsia="Calibri" w:cs="Arial"/>
                <w:b/>
                <w:color w:val="000000"/>
                <w:sz w:val="22"/>
                <w:u w:val="single"/>
              </w:rPr>
              <w:t>, LOW POWER LEVEL 2 LEVEL 2</w:t>
            </w:r>
            <w:r w:rsidRPr="00577EC9">
              <w:rPr>
                <w:rFonts w:eastAsia="Calibri" w:cs="Arial"/>
                <w:b/>
                <w:bCs/>
                <w:sz w:val="28"/>
                <w:szCs w:val="28"/>
                <w:u w:val="single"/>
                <w:vertAlign w:val="superscript"/>
              </w:rPr>
              <w:t xml:space="preserve"> 1, </w:t>
            </w:r>
            <w:r w:rsidRPr="00577EC9">
              <w:rPr>
                <w:rFonts w:eastAsia="Calibri" w:cs="Arial"/>
                <w:b/>
                <w:bCs/>
                <w:sz w:val="28"/>
                <w:szCs w:val="28"/>
                <w:vertAlign w:val="superscript"/>
              </w:rPr>
              <w:t>2</w:t>
            </w:r>
            <w:r w:rsidRPr="00577EC9">
              <w:rPr>
                <w:rFonts w:eastAsia="Calibri" w:cs="Arial"/>
                <w:b/>
                <w:color w:val="000000"/>
                <w:sz w:val="22"/>
                <w:u w:val="single"/>
              </w:rPr>
              <w:t>, OR DCFC</w:t>
            </w:r>
          </w:p>
        </w:tc>
      </w:tr>
      <w:tr w:rsidR="003E6000" w:rsidRPr="00577EC9" w14:paraId="6AC3DEF7" w14:textId="77777777" w:rsidTr="009506EF">
        <w:trPr>
          <w:cantSplit/>
          <w:trHeight w:val="311"/>
          <w:jc w:val="center"/>
        </w:trPr>
        <w:tc>
          <w:tcPr>
            <w:tcW w:w="1376" w:type="dxa"/>
            <w:shd w:val="clear" w:color="auto" w:fill="auto"/>
          </w:tcPr>
          <w:p w14:paraId="5D623886" w14:textId="77777777" w:rsidR="003E6000" w:rsidRPr="00577EC9" w:rsidRDefault="003E6000" w:rsidP="009506EF">
            <w:pPr>
              <w:jc w:val="center"/>
              <w:rPr>
                <w:rFonts w:eastAsia="Calibri" w:cs="Arial"/>
                <w:color w:val="000000"/>
                <w:sz w:val="22"/>
                <w:u w:val="single"/>
              </w:rPr>
            </w:pPr>
            <w:r w:rsidRPr="00577EC9">
              <w:rPr>
                <w:rFonts w:eastAsia="Calibri" w:cs="Arial"/>
                <w:color w:val="000000"/>
                <w:sz w:val="22"/>
                <w:u w:val="single"/>
              </w:rPr>
              <w:t>0-9</w:t>
            </w:r>
          </w:p>
        </w:tc>
        <w:tc>
          <w:tcPr>
            <w:tcW w:w="1769" w:type="dxa"/>
            <w:shd w:val="clear" w:color="auto" w:fill="auto"/>
          </w:tcPr>
          <w:p w14:paraId="1C1F4AE8" w14:textId="77777777" w:rsidR="003E6000" w:rsidRPr="00577EC9" w:rsidRDefault="003E6000" w:rsidP="009506EF">
            <w:pPr>
              <w:jc w:val="center"/>
              <w:rPr>
                <w:rFonts w:eastAsia="Calibri" w:cs="Arial"/>
                <w:color w:val="000000"/>
                <w:sz w:val="22"/>
                <w:u w:val="single"/>
              </w:rPr>
            </w:pPr>
            <w:r w:rsidRPr="00577EC9">
              <w:rPr>
                <w:rFonts w:eastAsia="Calibri" w:cs="Arial"/>
                <w:color w:val="000000"/>
                <w:sz w:val="22"/>
                <w:u w:val="single"/>
              </w:rPr>
              <w:t>13.2</w:t>
            </w:r>
          </w:p>
        </w:tc>
        <w:tc>
          <w:tcPr>
            <w:tcW w:w="4050" w:type="dxa"/>
            <w:shd w:val="clear" w:color="auto" w:fill="auto"/>
          </w:tcPr>
          <w:p w14:paraId="77895662" w14:textId="77777777" w:rsidR="003E6000" w:rsidRPr="00577EC9" w:rsidRDefault="003E6000" w:rsidP="009506EF">
            <w:pPr>
              <w:jc w:val="center"/>
              <w:rPr>
                <w:rFonts w:eastAsia="Calibri" w:cs="Arial"/>
                <w:color w:val="000000"/>
                <w:sz w:val="22"/>
                <w:u w:val="single"/>
              </w:rPr>
            </w:pPr>
            <w:r w:rsidRPr="00577EC9">
              <w:rPr>
                <w:rFonts w:eastAsia="Calibri" w:cs="Arial"/>
                <w:color w:val="000000"/>
                <w:sz w:val="22"/>
                <w:u w:val="single"/>
              </w:rPr>
              <w:t>13.2</w:t>
            </w:r>
          </w:p>
        </w:tc>
      </w:tr>
      <w:tr w:rsidR="003E6000" w:rsidRPr="00577EC9" w14:paraId="729D1317" w14:textId="77777777" w:rsidTr="009506EF">
        <w:trPr>
          <w:cantSplit/>
          <w:trHeight w:val="376"/>
          <w:jc w:val="center"/>
        </w:trPr>
        <w:tc>
          <w:tcPr>
            <w:tcW w:w="1376" w:type="dxa"/>
            <w:shd w:val="clear" w:color="auto" w:fill="auto"/>
          </w:tcPr>
          <w:p w14:paraId="774DA330" w14:textId="77777777" w:rsidR="003E6000" w:rsidRPr="00577EC9" w:rsidRDefault="003E6000" w:rsidP="009506EF">
            <w:pPr>
              <w:jc w:val="center"/>
              <w:rPr>
                <w:rFonts w:eastAsia="Calibri" w:cs="Arial"/>
                <w:color w:val="000000"/>
                <w:sz w:val="22"/>
                <w:u w:val="single"/>
              </w:rPr>
            </w:pPr>
            <w:r w:rsidRPr="00577EC9">
              <w:rPr>
                <w:rFonts w:eastAsia="Calibri" w:cs="Arial"/>
                <w:color w:val="000000"/>
                <w:sz w:val="22"/>
                <w:u w:val="single"/>
              </w:rPr>
              <w:t>10-25</w:t>
            </w:r>
          </w:p>
        </w:tc>
        <w:tc>
          <w:tcPr>
            <w:tcW w:w="1769" w:type="dxa"/>
            <w:shd w:val="clear" w:color="auto" w:fill="auto"/>
          </w:tcPr>
          <w:p w14:paraId="787A5322" w14:textId="77777777" w:rsidR="003E6000" w:rsidRPr="00577EC9" w:rsidRDefault="003E6000" w:rsidP="009506EF">
            <w:pPr>
              <w:jc w:val="center"/>
              <w:rPr>
                <w:rFonts w:eastAsia="Calibri" w:cs="Arial"/>
                <w:sz w:val="22"/>
                <w:u w:val="single"/>
              </w:rPr>
            </w:pPr>
            <w:r w:rsidRPr="00577EC9">
              <w:rPr>
                <w:rFonts w:eastAsia="Calibri" w:cs="Arial"/>
                <w:sz w:val="22"/>
                <w:u w:val="single"/>
              </w:rPr>
              <w:t>33</w:t>
            </w:r>
          </w:p>
        </w:tc>
        <w:tc>
          <w:tcPr>
            <w:tcW w:w="4050" w:type="dxa"/>
            <w:shd w:val="clear" w:color="auto" w:fill="auto"/>
          </w:tcPr>
          <w:p w14:paraId="07D4325F" w14:textId="77777777" w:rsidR="003E6000" w:rsidRPr="00577EC9" w:rsidRDefault="003E6000" w:rsidP="009506EF">
            <w:pPr>
              <w:jc w:val="center"/>
              <w:rPr>
                <w:rFonts w:eastAsia="Calibri" w:cs="Arial"/>
                <w:sz w:val="22"/>
                <w:u w:val="single"/>
              </w:rPr>
            </w:pPr>
            <w:r w:rsidRPr="00577EC9">
              <w:rPr>
                <w:rFonts w:eastAsia="Calibri" w:cs="Arial"/>
                <w:sz w:val="22"/>
                <w:u w:val="single"/>
              </w:rPr>
              <w:t>33</w:t>
            </w:r>
          </w:p>
        </w:tc>
      </w:tr>
      <w:tr w:rsidR="003E6000" w:rsidRPr="00577EC9" w14:paraId="58EABF15" w14:textId="77777777" w:rsidTr="009506EF">
        <w:trPr>
          <w:cantSplit/>
          <w:trHeight w:val="367"/>
          <w:jc w:val="center"/>
        </w:trPr>
        <w:tc>
          <w:tcPr>
            <w:tcW w:w="1376" w:type="dxa"/>
            <w:shd w:val="clear" w:color="auto" w:fill="auto"/>
          </w:tcPr>
          <w:p w14:paraId="0EF25C7C" w14:textId="77777777" w:rsidR="003E6000" w:rsidRPr="00577EC9" w:rsidRDefault="003E6000" w:rsidP="009506EF">
            <w:pPr>
              <w:tabs>
                <w:tab w:val="center" w:pos="924"/>
              </w:tabs>
              <w:jc w:val="center"/>
              <w:rPr>
                <w:rFonts w:eastAsia="Calibri" w:cs="Arial"/>
                <w:color w:val="000000"/>
                <w:sz w:val="22"/>
                <w:u w:val="single"/>
              </w:rPr>
            </w:pPr>
            <w:r w:rsidRPr="00577EC9">
              <w:rPr>
                <w:rFonts w:eastAsia="Calibri" w:cs="Arial"/>
                <w:color w:val="000000"/>
                <w:sz w:val="22"/>
                <w:u w:val="single"/>
              </w:rPr>
              <w:t>26-50</w:t>
            </w:r>
          </w:p>
        </w:tc>
        <w:tc>
          <w:tcPr>
            <w:tcW w:w="1769" w:type="dxa"/>
            <w:shd w:val="clear" w:color="auto" w:fill="auto"/>
          </w:tcPr>
          <w:p w14:paraId="02D2AFBB" w14:textId="77777777" w:rsidR="003E6000" w:rsidRPr="00577EC9" w:rsidRDefault="003E6000" w:rsidP="009506EF">
            <w:pPr>
              <w:jc w:val="center"/>
              <w:rPr>
                <w:rFonts w:eastAsia="Calibri" w:cs="Arial"/>
                <w:sz w:val="22"/>
                <w:u w:val="single"/>
              </w:rPr>
            </w:pPr>
            <w:r w:rsidRPr="00577EC9">
              <w:rPr>
                <w:rFonts w:eastAsia="Calibri" w:cs="Arial"/>
                <w:sz w:val="22"/>
                <w:u w:val="single"/>
              </w:rPr>
              <w:t>72.6</w:t>
            </w:r>
          </w:p>
        </w:tc>
        <w:tc>
          <w:tcPr>
            <w:tcW w:w="4050" w:type="dxa"/>
            <w:shd w:val="clear" w:color="auto" w:fill="auto"/>
          </w:tcPr>
          <w:p w14:paraId="67AC52A0" w14:textId="77777777" w:rsidR="003E6000" w:rsidRPr="00577EC9" w:rsidRDefault="003E6000" w:rsidP="009506EF">
            <w:pPr>
              <w:jc w:val="center"/>
              <w:rPr>
                <w:rFonts w:eastAsia="Calibri" w:cs="Arial"/>
                <w:sz w:val="22"/>
                <w:u w:val="single"/>
              </w:rPr>
            </w:pPr>
            <w:r w:rsidRPr="00577EC9">
              <w:rPr>
                <w:rFonts w:eastAsia="Calibri" w:cs="Arial"/>
                <w:sz w:val="22"/>
                <w:u w:val="single"/>
              </w:rPr>
              <w:t>72.6</w:t>
            </w:r>
          </w:p>
        </w:tc>
      </w:tr>
      <w:tr w:rsidR="003E6000" w:rsidRPr="00577EC9" w14:paraId="6605ADC5" w14:textId="77777777" w:rsidTr="009506EF">
        <w:trPr>
          <w:cantSplit/>
          <w:trHeight w:val="349"/>
          <w:jc w:val="center"/>
        </w:trPr>
        <w:tc>
          <w:tcPr>
            <w:tcW w:w="1376" w:type="dxa"/>
            <w:shd w:val="clear" w:color="auto" w:fill="auto"/>
          </w:tcPr>
          <w:p w14:paraId="40B17C3E" w14:textId="77777777" w:rsidR="003E6000" w:rsidRPr="00577EC9" w:rsidRDefault="003E6000" w:rsidP="009506EF">
            <w:pPr>
              <w:jc w:val="center"/>
              <w:rPr>
                <w:rFonts w:eastAsia="Calibri" w:cs="Arial"/>
                <w:color w:val="000000"/>
                <w:sz w:val="22"/>
                <w:u w:val="single"/>
              </w:rPr>
            </w:pPr>
            <w:r w:rsidRPr="00577EC9">
              <w:rPr>
                <w:rFonts w:eastAsia="Calibri" w:cs="Arial"/>
                <w:color w:val="000000"/>
                <w:sz w:val="22"/>
                <w:u w:val="single"/>
              </w:rPr>
              <w:t>51-75</w:t>
            </w:r>
          </w:p>
        </w:tc>
        <w:tc>
          <w:tcPr>
            <w:tcW w:w="1769" w:type="dxa"/>
            <w:shd w:val="clear" w:color="auto" w:fill="auto"/>
          </w:tcPr>
          <w:p w14:paraId="73F83AC6" w14:textId="77777777" w:rsidR="003E6000" w:rsidRPr="00577EC9" w:rsidRDefault="003E6000" w:rsidP="009506EF">
            <w:pPr>
              <w:jc w:val="center"/>
              <w:rPr>
                <w:rFonts w:eastAsia="Calibri" w:cs="Arial"/>
                <w:sz w:val="22"/>
                <w:u w:val="single"/>
              </w:rPr>
            </w:pPr>
            <w:r w:rsidRPr="00577EC9">
              <w:rPr>
                <w:rFonts w:eastAsia="Calibri" w:cs="Arial"/>
                <w:sz w:val="22"/>
                <w:u w:val="single"/>
              </w:rPr>
              <w:t>125.4</w:t>
            </w:r>
          </w:p>
        </w:tc>
        <w:tc>
          <w:tcPr>
            <w:tcW w:w="4050" w:type="dxa"/>
            <w:shd w:val="clear" w:color="auto" w:fill="auto"/>
          </w:tcPr>
          <w:p w14:paraId="14F3BF7C" w14:textId="77777777" w:rsidR="003E6000" w:rsidRPr="00577EC9" w:rsidRDefault="003E6000" w:rsidP="009506EF">
            <w:pPr>
              <w:jc w:val="center"/>
              <w:rPr>
                <w:rFonts w:eastAsia="Calibri" w:cs="Arial"/>
                <w:sz w:val="22"/>
                <w:u w:val="single"/>
              </w:rPr>
            </w:pPr>
            <w:r w:rsidRPr="00577EC9">
              <w:rPr>
                <w:rFonts w:eastAsia="Calibri" w:cs="Arial"/>
                <w:sz w:val="22"/>
                <w:u w:val="single"/>
              </w:rPr>
              <w:t>125.4</w:t>
            </w:r>
          </w:p>
        </w:tc>
      </w:tr>
      <w:tr w:rsidR="003E6000" w:rsidRPr="00577EC9" w14:paraId="3D91952B" w14:textId="77777777" w:rsidTr="009506EF">
        <w:trPr>
          <w:cantSplit/>
          <w:trHeight w:val="421"/>
          <w:jc w:val="center"/>
        </w:trPr>
        <w:tc>
          <w:tcPr>
            <w:tcW w:w="1376" w:type="dxa"/>
            <w:shd w:val="clear" w:color="auto" w:fill="auto"/>
          </w:tcPr>
          <w:p w14:paraId="02E8417A" w14:textId="77777777" w:rsidR="003E6000" w:rsidRPr="00577EC9" w:rsidRDefault="003E6000" w:rsidP="009506EF">
            <w:pPr>
              <w:jc w:val="center"/>
              <w:rPr>
                <w:rFonts w:eastAsia="Calibri" w:cs="Arial"/>
                <w:color w:val="000000"/>
                <w:sz w:val="22"/>
                <w:u w:val="single"/>
              </w:rPr>
            </w:pPr>
            <w:r w:rsidRPr="00577EC9">
              <w:rPr>
                <w:rFonts w:eastAsia="Calibri" w:cs="Arial"/>
                <w:color w:val="000000"/>
                <w:sz w:val="22"/>
                <w:u w:val="single"/>
              </w:rPr>
              <w:t>76-100</w:t>
            </w:r>
          </w:p>
        </w:tc>
        <w:tc>
          <w:tcPr>
            <w:tcW w:w="1769" w:type="dxa"/>
            <w:shd w:val="clear" w:color="auto" w:fill="auto"/>
          </w:tcPr>
          <w:p w14:paraId="23248FCF" w14:textId="77777777" w:rsidR="003E6000" w:rsidRPr="00577EC9" w:rsidRDefault="003E6000" w:rsidP="009506EF">
            <w:pPr>
              <w:jc w:val="center"/>
              <w:rPr>
                <w:rFonts w:eastAsia="Calibri" w:cs="Arial"/>
                <w:sz w:val="22"/>
                <w:u w:val="single"/>
              </w:rPr>
            </w:pPr>
            <w:r w:rsidRPr="00577EC9">
              <w:rPr>
                <w:rFonts w:eastAsia="Calibri" w:cs="Arial"/>
                <w:sz w:val="22"/>
                <w:u w:val="single"/>
              </w:rPr>
              <w:t>171.6</w:t>
            </w:r>
          </w:p>
        </w:tc>
        <w:tc>
          <w:tcPr>
            <w:tcW w:w="4050" w:type="dxa"/>
            <w:shd w:val="clear" w:color="auto" w:fill="auto"/>
          </w:tcPr>
          <w:p w14:paraId="4CADAB4D" w14:textId="77777777" w:rsidR="003E6000" w:rsidRPr="00577EC9" w:rsidRDefault="003E6000" w:rsidP="009506EF">
            <w:pPr>
              <w:jc w:val="center"/>
              <w:rPr>
                <w:rFonts w:eastAsia="Calibri" w:cs="Arial"/>
                <w:sz w:val="22"/>
                <w:u w:val="single"/>
              </w:rPr>
            </w:pPr>
            <w:r w:rsidRPr="00577EC9">
              <w:rPr>
                <w:rFonts w:eastAsia="Calibri" w:cs="Arial"/>
                <w:sz w:val="22"/>
                <w:u w:val="single"/>
              </w:rPr>
              <w:t>171.6</w:t>
            </w:r>
          </w:p>
        </w:tc>
      </w:tr>
      <w:tr w:rsidR="003E6000" w:rsidRPr="00577EC9" w14:paraId="09AFE7EB" w14:textId="77777777" w:rsidTr="009506EF">
        <w:trPr>
          <w:cantSplit/>
          <w:trHeight w:val="322"/>
          <w:jc w:val="center"/>
        </w:trPr>
        <w:tc>
          <w:tcPr>
            <w:tcW w:w="1376" w:type="dxa"/>
            <w:shd w:val="clear" w:color="auto" w:fill="auto"/>
          </w:tcPr>
          <w:p w14:paraId="1514778D" w14:textId="77777777" w:rsidR="003E6000" w:rsidRPr="00577EC9" w:rsidRDefault="003E6000" w:rsidP="009506EF">
            <w:pPr>
              <w:jc w:val="center"/>
              <w:rPr>
                <w:rFonts w:eastAsia="Calibri" w:cs="Arial"/>
                <w:color w:val="000000"/>
                <w:sz w:val="22"/>
                <w:u w:val="single"/>
              </w:rPr>
            </w:pPr>
            <w:r w:rsidRPr="00577EC9">
              <w:rPr>
                <w:rFonts w:eastAsia="Calibri" w:cs="Arial"/>
                <w:color w:val="000000"/>
                <w:sz w:val="22"/>
                <w:u w:val="single"/>
              </w:rPr>
              <w:t>101-150</w:t>
            </w:r>
          </w:p>
        </w:tc>
        <w:tc>
          <w:tcPr>
            <w:tcW w:w="1769" w:type="dxa"/>
            <w:shd w:val="clear" w:color="auto" w:fill="auto"/>
          </w:tcPr>
          <w:p w14:paraId="4D3B2966" w14:textId="77777777" w:rsidR="003E6000" w:rsidRPr="00577EC9" w:rsidRDefault="003E6000" w:rsidP="009506EF">
            <w:pPr>
              <w:jc w:val="center"/>
              <w:rPr>
                <w:rFonts w:eastAsia="Calibri" w:cs="Arial"/>
                <w:sz w:val="22"/>
                <w:u w:val="single"/>
              </w:rPr>
            </w:pPr>
            <w:r w:rsidRPr="00577EC9">
              <w:rPr>
                <w:rFonts w:eastAsia="Calibri" w:cs="Arial"/>
                <w:sz w:val="22"/>
                <w:u w:val="single"/>
              </w:rPr>
              <w:t>250.8</w:t>
            </w:r>
          </w:p>
        </w:tc>
        <w:tc>
          <w:tcPr>
            <w:tcW w:w="4050" w:type="dxa"/>
            <w:shd w:val="clear" w:color="auto" w:fill="auto"/>
          </w:tcPr>
          <w:p w14:paraId="71B00B56" w14:textId="77777777" w:rsidR="003E6000" w:rsidRPr="00577EC9" w:rsidRDefault="003E6000" w:rsidP="009506EF">
            <w:pPr>
              <w:jc w:val="center"/>
              <w:rPr>
                <w:rFonts w:eastAsia="Calibri" w:cs="Arial"/>
                <w:sz w:val="22"/>
                <w:u w:val="single"/>
              </w:rPr>
            </w:pPr>
            <w:r w:rsidRPr="00577EC9">
              <w:rPr>
                <w:rFonts w:eastAsia="Calibri" w:cs="Arial"/>
                <w:sz w:val="22"/>
                <w:u w:val="single"/>
              </w:rPr>
              <w:t>250.8</w:t>
            </w:r>
          </w:p>
        </w:tc>
      </w:tr>
      <w:tr w:rsidR="003E6000" w:rsidRPr="00577EC9" w14:paraId="682575B4" w14:textId="77777777" w:rsidTr="009506EF">
        <w:trPr>
          <w:cantSplit/>
          <w:trHeight w:val="394"/>
          <w:jc w:val="center"/>
        </w:trPr>
        <w:tc>
          <w:tcPr>
            <w:tcW w:w="1376" w:type="dxa"/>
            <w:shd w:val="clear" w:color="auto" w:fill="auto"/>
          </w:tcPr>
          <w:p w14:paraId="3C60D7A5" w14:textId="77777777" w:rsidR="003E6000" w:rsidRPr="00577EC9" w:rsidRDefault="003E6000" w:rsidP="009506EF">
            <w:pPr>
              <w:jc w:val="center"/>
              <w:rPr>
                <w:rFonts w:eastAsia="Calibri" w:cs="Arial"/>
                <w:color w:val="000000"/>
                <w:sz w:val="22"/>
                <w:u w:val="single"/>
              </w:rPr>
            </w:pPr>
            <w:r w:rsidRPr="00577EC9">
              <w:rPr>
                <w:rFonts w:eastAsia="Calibri" w:cs="Arial"/>
                <w:color w:val="000000"/>
                <w:sz w:val="22"/>
                <w:u w:val="single"/>
              </w:rPr>
              <w:t>151-200</w:t>
            </w:r>
          </w:p>
        </w:tc>
        <w:tc>
          <w:tcPr>
            <w:tcW w:w="1769" w:type="dxa"/>
            <w:shd w:val="clear" w:color="auto" w:fill="auto"/>
          </w:tcPr>
          <w:p w14:paraId="6A3DB466" w14:textId="77777777" w:rsidR="003E6000" w:rsidRPr="00577EC9" w:rsidRDefault="003E6000" w:rsidP="009506EF">
            <w:pPr>
              <w:jc w:val="center"/>
              <w:rPr>
                <w:rFonts w:eastAsia="Calibri" w:cs="Arial"/>
                <w:sz w:val="22"/>
                <w:u w:val="single"/>
              </w:rPr>
            </w:pPr>
            <w:r w:rsidRPr="00577EC9">
              <w:rPr>
                <w:rFonts w:eastAsia="Calibri" w:cs="Arial"/>
                <w:sz w:val="22"/>
                <w:u w:val="single"/>
              </w:rPr>
              <w:t>349.8</w:t>
            </w:r>
          </w:p>
        </w:tc>
        <w:tc>
          <w:tcPr>
            <w:tcW w:w="4050" w:type="dxa"/>
            <w:shd w:val="clear" w:color="auto" w:fill="auto"/>
          </w:tcPr>
          <w:p w14:paraId="5C3E96A1" w14:textId="77777777" w:rsidR="003E6000" w:rsidRPr="00577EC9" w:rsidRDefault="003E6000" w:rsidP="009506EF">
            <w:pPr>
              <w:jc w:val="center"/>
              <w:rPr>
                <w:rFonts w:eastAsia="Calibri" w:cs="Arial"/>
                <w:sz w:val="22"/>
                <w:u w:val="single"/>
              </w:rPr>
            </w:pPr>
            <w:r w:rsidRPr="00577EC9">
              <w:rPr>
                <w:rFonts w:eastAsia="Calibri" w:cs="Arial"/>
                <w:sz w:val="22"/>
                <w:u w:val="single"/>
              </w:rPr>
              <w:t>349.8</w:t>
            </w:r>
          </w:p>
        </w:tc>
      </w:tr>
      <w:tr w:rsidR="003E6000" w:rsidRPr="00577EC9" w14:paraId="66D7F3BF" w14:textId="77777777" w:rsidTr="009506EF">
        <w:trPr>
          <w:cantSplit/>
          <w:trHeight w:val="1135"/>
          <w:jc w:val="center"/>
        </w:trPr>
        <w:tc>
          <w:tcPr>
            <w:tcW w:w="1376" w:type="dxa"/>
            <w:shd w:val="clear" w:color="auto" w:fill="auto"/>
          </w:tcPr>
          <w:p w14:paraId="002164B8" w14:textId="77777777" w:rsidR="003E6000" w:rsidRPr="00577EC9" w:rsidRDefault="003E6000" w:rsidP="009506EF">
            <w:pPr>
              <w:jc w:val="center"/>
              <w:rPr>
                <w:rFonts w:eastAsia="Calibri" w:cs="Arial"/>
                <w:color w:val="000000"/>
                <w:sz w:val="22"/>
                <w:u w:val="single"/>
              </w:rPr>
            </w:pPr>
            <w:r w:rsidRPr="00577EC9">
              <w:rPr>
                <w:rFonts w:eastAsia="Calibri" w:cs="Arial"/>
                <w:color w:val="000000"/>
                <w:sz w:val="22"/>
                <w:u w:val="single"/>
              </w:rPr>
              <w:t>201 and over</w:t>
            </w:r>
          </w:p>
        </w:tc>
        <w:tc>
          <w:tcPr>
            <w:tcW w:w="1769" w:type="dxa"/>
            <w:shd w:val="clear" w:color="auto" w:fill="auto"/>
          </w:tcPr>
          <w:p w14:paraId="1C2190A8" w14:textId="77777777" w:rsidR="003E6000" w:rsidRPr="00577EC9" w:rsidRDefault="003E6000" w:rsidP="009506EF">
            <w:pPr>
              <w:jc w:val="center"/>
              <w:rPr>
                <w:rFonts w:eastAsia="Calibri" w:cs="Arial"/>
                <w:color w:val="000000"/>
                <w:sz w:val="22"/>
                <w:u w:val="single"/>
              </w:rPr>
            </w:pPr>
            <w:r w:rsidRPr="00577EC9">
              <w:rPr>
                <w:rFonts w:eastAsia="Calibri" w:cs="Arial"/>
                <w:color w:val="000000"/>
                <w:sz w:val="22"/>
                <w:u w:val="single"/>
              </w:rPr>
              <w:t>30 percent of actual parking spaces x 6.6</w:t>
            </w:r>
          </w:p>
        </w:tc>
        <w:tc>
          <w:tcPr>
            <w:tcW w:w="4050" w:type="dxa"/>
            <w:shd w:val="clear" w:color="auto" w:fill="auto"/>
          </w:tcPr>
          <w:p w14:paraId="4EB73E25" w14:textId="77777777" w:rsidR="003E6000" w:rsidRPr="00577EC9" w:rsidRDefault="003E6000" w:rsidP="009506EF">
            <w:pPr>
              <w:rPr>
                <w:rFonts w:eastAsia="Calibri" w:cs="Arial"/>
                <w:sz w:val="22"/>
                <w:u w:val="single"/>
              </w:rPr>
            </w:pPr>
            <w:r w:rsidRPr="00577EC9">
              <w:rPr>
                <w:rFonts w:eastAsia="Calibri" w:cs="Arial"/>
                <w:sz w:val="22"/>
                <w:u w:val="single"/>
              </w:rPr>
              <w:t>Total required kVA =P x .30 x 6.6 Where P=Parking spaces in facility</w:t>
            </w:r>
          </w:p>
        </w:tc>
      </w:tr>
    </w:tbl>
    <w:p w14:paraId="057137E7" w14:textId="77777777" w:rsidR="007449C6" w:rsidRPr="00266CDC" w:rsidRDefault="007449C6" w:rsidP="008969FA">
      <w:pPr>
        <w:jc w:val="both"/>
        <w:rPr>
          <w:rFonts w:eastAsia="Batang" w:cs="Arial"/>
          <w:color w:val="000000"/>
          <w:szCs w:val="24"/>
          <w:u w:val="single"/>
        </w:rPr>
      </w:pPr>
    </w:p>
    <w:p w14:paraId="637A3D1B" w14:textId="20EF6086" w:rsidR="007449C6" w:rsidRPr="00234658" w:rsidRDefault="007449C6" w:rsidP="007449C6">
      <w:pPr>
        <w:spacing w:line="276" w:lineRule="auto"/>
        <w:ind w:left="1080"/>
        <w:rPr>
          <w:rFonts w:eastAsia="Batang" w:cs="Arial"/>
          <w:color w:val="211D1E"/>
          <w:sz w:val="22"/>
          <w:szCs w:val="22"/>
          <w:u w:val="single"/>
        </w:rPr>
      </w:pPr>
      <w:r w:rsidRPr="00234658">
        <w:rPr>
          <w:rFonts w:eastAsia="Batang" w:cs="Arial"/>
          <w:color w:val="211D1E"/>
          <w:sz w:val="22"/>
          <w:szCs w:val="22"/>
          <w:u w:val="single"/>
        </w:rPr>
        <w:t>1. Level 2 EVSE @ 6.6 kVA minimum.</w:t>
      </w:r>
    </w:p>
    <w:p w14:paraId="63872ABE" w14:textId="77777777" w:rsidR="007449C6" w:rsidRPr="00234658" w:rsidRDefault="007449C6" w:rsidP="007449C6">
      <w:pPr>
        <w:spacing w:line="276" w:lineRule="auto"/>
        <w:ind w:left="1080"/>
        <w:rPr>
          <w:rFonts w:eastAsia="Batang" w:cs="Arial"/>
          <w:color w:val="211D1E"/>
          <w:sz w:val="22"/>
          <w:szCs w:val="22"/>
          <w:u w:val="single"/>
        </w:rPr>
      </w:pPr>
      <w:r w:rsidRPr="00234658">
        <w:rPr>
          <w:rFonts w:eastAsia="Batang" w:cs="Arial"/>
          <w:color w:val="211D1E"/>
          <w:sz w:val="22"/>
          <w:szCs w:val="22"/>
          <w:u w:val="single"/>
        </w:rPr>
        <w:t>2. At least one Level 2 EVSE shall be provided.</w:t>
      </w:r>
    </w:p>
    <w:p w14:paraId="537FB77A" w14:textId="77777777" w:rsidR="007449C6" w:rsidRPr="00234658" w:rsidRDefault="007449C6" w:rsidP="007449C6">
      <w:pPr>
        <w:spacing w:line="276" w:lineRule="auto"/>
        <w:ind w:left="1080"/>
        <w:rPr>
          <w:rFonts w:eastAsia="Batang" w:cs="Arial"/>
          <w:color w:val="211D1E"/>
          <w:sz w:val="22"/>
          <w:szCs w:val="22"/>
          <w:u w:val="single"/>
        </w:rPr>
      </w:pPr>
      <w:r w:rsidRPr="00234658">
        <w:rPr>
          <w:rFonts w:eastAsia="Batang" w:cs="Arial"/>
          <w:color w:val="211D1E"/>
          <w:sz w:val="22"/>
          <w:szCs w:val="22"/>
          <w:u w:val="single"/>
        </w:rPr>
        <w:t xml:space="preserve">3. Maximum allowed kVA to be utilized for EV capable spaces is 67 percent. </w:t>
      </w:r>
    </w:p>
    <w:p w14:paraId="65AEB835" w14:textId="0BA0E13E" w:rsidR="007449C6" w:rsidRPr="00234658" w:rsidRDefault="007449C6" w:rsidP="007449C6">
      <w:pPr>
        <w:spacing w:line="276" w:lineRule="auto"/>
        <w:ind w:left="1080"/>
        <w:rPr>
          <w:rFonts w:eastAsia="Batang" w:cs="Arial"/>
          <w:color w:val="211D1E"/>
          <w:sz w:val="22"/>
          <w:szCs w:val="22"/>
          <w:u w:val="single"/>
        </w:rPr>
      </w:pPr>
      <w:r w:rsidRPr="00234658">
        <w:rPr>
          <w:rFonts w:eastAsia="Batang" w:cs="Arial"/>
          <w:color w:val="211D1E"/>
          <w:sz w:val="22"/>
          <w:szCs w:val="22"/>
          <w:u w:val="single"/>
        </w:rPr>
        <w:t xml:space="preserve">4. If EV capable spaces are </w:t>
      </w:r>
      <w:r w:rsidR="00D81D56" w:rsidRPr="00234658">
        <w:rPr>
          <w:rFonts w:eastAsia="Batang" w:cs="Arial"/>
          <w:color w:val="211D1E"/>
          <w:sz w:val="22"/>
          <w:szCs w:val="22"/>
          <w:u w:val="single"/>
        </w:rPr>
        <w:t>utilized,</w:t>
      </w:r>
      <w:r w:rsidRPr="00234658">
        <w:rPr>
          <w:rFonts w:eastAsia="Batang" w:cs="Arial"/>
          <w:color w:val="211D1E"/>
          <w:sz w:val="22"/>
          <w:szCs w:val="22"/>
          <w:u w:val="single"/>
        </w:rPr>
        <w:t xml:space="preserve"> they shall meet the requirements of Section 5.106.5.3.1 EV capable spaces. </w:t>
      </w:r>
    </w:p>
    <w:p w14:paraId="58C66EC0" w14:textId="77777777" w:rsidR="007449C6" w:rsidRPr="00266CDC" w:rsidRDefault="007449C6" w:rsidP="008969FA">
      <w:pPr>
        <w:rPr>
          <w:b/>
          <w:bCs/>
        </w:rPr>
      </w:pPr>
    </w:p>
    <w:p w14:paraId="4F93901E" w14:textId="3BE0F6BE" w:rsidR="007449C6" w:rsidRPr="00BC0324" w:rsidRDefault="007449C6" w:rsidP="007449C6">
      <w:pPr>
        <w:rPr>
          <w:rFonts w:cs="Arial"/>
          <w:b/>
          <w:bCs/>
          <w:szCs w:val="24"/>
        </w:rPr>
      </w:pPr>
      <w:r w:rsidRPr="00266CDC">
        <w:rPr>
          <w:b/>
          <w:bCs/>
        </w:rPr>
        <w:t>Appendix A5 Nonresidential Voluntary Measures</w:t>
      </w:r>
      <w:r w:rsidRPr="00266CDC">
        <w:rPr>
          <w:rFonts w:cs="Arial"/>
          <w:b/>
          <w:bCs/>
          <w:szCs w:val="24"/>
        </w:rPr>
        <w:t>,</w:t>
      </w:r>
      <w:r w:rsidR="00F448ED">
        <w:rPr>
          <w:rFonts w:cs="Arial"/>
          <w:b/>
          <w:bCs/>
          <w:szCs w:val="24"/>
        </w:rPr>
        <w:t xml:space="preserve"> </w:t>
      </w:r>
      <w:r w:rsidRPr="00266CDC">
        <w:rPr>
          <w:rFonts w:cs="Arial"/>
          <w:b/>
          <w:bCs/>
          <w:szCs w:val="24"/>
        </w:rPr>
        <w:t>Section A5.601, Table A5.601 is amended</w:t>
      </w:r>
      <w:r w:rsidR="00F448ED">
        <w:rPr>
          <w:rFonts w:cs="Arial"/>
          <w:b/>
          <w:bCs/>
          <w:szCs w:val="24"/>
        </w:rPr>
        <w:t xml:space="preserve"> </w:t>
      </w:r>
      <w:r w:rsidRPr="00BC0324">
        <w:rPr>
          <w:rFonts w:cs="Arial"/>
          <w:b/>
          <w:bCs/>
          <w:szCs w:val="24"/>
        </w:rPr>
        <w:t>as follows:</w:t>
      </w:r>
    </w:p>
    <w:p w14:paraId="6B0CBCF7" w14:textId="77777777" w:rsidR="007449C6" w:rsidRDefault="007449C6" w:rsidP="007449C6">
      <w:r w:rsidRPr="00BC0324">
        <w:rPr>
          <w:rFonts w:cs="Arial"/>
          <w:szCs w:val="24"/>
        </w:rPr>
        <w:t xml:space="preserve">The Tier 1 cell for Electric Vehicle Charging is amended to read as follows: </w:t>
      </w:r>
      <w:r w:rsidRPr="00BC0324">
        <w:rPr>
          <w:rFonts w:cs="Arial"/>
          <w:strike/>
          <w:szCs w:val="24"/>
        </w:rPr>
        <w:t>Approx. 30% of total spaces</w:t>
      </w:r>
      <w:r w:rsidRPr="00BC0324">
        <w:rPr>
          <w:rFonts w:cs="Arial"/>
          <w:szCs w:val="24"/>
        </w:rPr>
        <w:t xml:space="preserve"> </w:t>
      </w:r>
      <w:r w:rsidRPr="00BC0324">
        <w:rPr>
          <w:rFonts w:cs="Arial"/>
          <w:szCs w:val="24"/>
          <w:u w:val="single"/>
        </w:rPr>
        <w:t>Meet provisions of Section A5.106.5.3</w:t>
      </w:r>
      <w:r w:rsidRPr="00BC0324">
        <w:rPr>
          <w:rFonts w:cs="Arial"/>
          <w:szCs w:val="24"/>
        </w:rPr>
        <w:t>.</w:t>
      </w:r>
    </w:p>
    <w:p w14:paraId="3E7B7615" w14:textId="77777777" w:rsidR="00640CD2" w:rsidRDefault="00640CD2" w:rsidP="0055508F">
      <w:pPr>
        <w:pStyle w:val="NoSpacing"/>
      </w:pPr>
    </w:p>
    <w:p w14:paraId="5680758A" w14:textId="77777777" w:rsidR="00924234" w:rsidRDefault="00924234" w:rsidP="00924234">
      <w:pPr>
        <w:sectPr w:rsidR="00924234" w:rsidSect="00EB3FAD">
          <w:headerReference w:type="default" r:id="rId27"/>
          <w:headerReference w:type="first" r:id="rId28"/>
          <w:pgSz w:w="12240" w:h="15840"/>
          <w:pgMar w:top="1440" w:right="1440" w:bottom="1440" w:left="1440" w:header="0" w:footer="1017" w:gutter="0"/>
          <w:cols w:space="720"/>
          <w:docGrid w:linePitch="326"/>
        </w:sectPr>
      </w:pPr>
    </w:p>
    <w:p w14:paraId="2CEAFED6" w14:textId="378A7A3E" w:rsidR="00640CD2" w:rsidRDefault="00640CD2" w:rsidP="00924234">
      <w:pPr>
        <w:pStyle w:val="Heading1"/>
      </w:pPr>
      <w:r>
        <w:t>TIER 2 Amendments</w:t>
      </w:r>
    </w:p>
    <w:p w14:paraId="7EDD41C2" w14:textId="77777777" w:rsidR="00924234" w:rsidRDefault="00924234" w:rsidP="00924234">
      <w:pPr>
        <w:rPr>
          <w:rFonts w:eastAsiaTheme="majorEastAsia"/>
        </w:rPr>
      </w:pPr>
    </w:p>
    <w:p w14:paraId="5328BE1C" w14:textId="77777777" w:rsidR="00924234" w:rsidRPr="00853022" w:rsidRDefault="00924234" w:rsidP="00924234">
      <w:pPr>
        <w:jc w:val="center"/>
      </w:pPr>
      <w:r w:rsidRPr="0044522F">
        <w:rPr>
          <w:i/>
          <w:iCs/>
        </w:rPr>
        <w:t>ORDINANCE NO.</w:t>
      </w:r>
      <w:r w:rsidRPr="0044522F">
        <w:t xml:space="preserve"> </w:t>
      </w:r>
      <w:r w:rsidRPr="00C85D0B">
        <w:rPr>
          <w:rStyle w:val="Instructions"/>
        </w:rPr>
        <w:t>[XXXX]</w:t>
      </w:r>
    </w:p>
    <w:p w14:paraId="5D122664" w14:textId="77777777" w:rsidR="00924234" w:rsidRPr="00853022" w:rsidRDefault="00924234" w:rsidP="00924234">
      <w:pPr>
        <w:spacing w:after="240"/>
        <w:jc w:val="center"/>
        <w:rPr>
          <w:spacing w:val="1"/>
          <w:szCs w:val="24"/>
        </w:rPr>
      </w:pPr>
      <w:r>
        <w:rPr>
          <w:spacing w:val="1"/>
          <w:szCs w:val="24"/>
        </w:rPr>
        <w:t xml:space="preserve">AN ORDINANCE OF THE </w:t>
      </w:r>
      <w:r w:rsidRPr="00C85D0B">
        <w:rPr>
          <w:rStyle w:val="Instructions"/>
        </w:rPr>
        <w:t xml:space="preserve">[city or county] </w:t>
      </w:r>
      <w:r>
        <w:rPr>
          <w:spacing w:val="1"/>
          <w:szCs w:val="24"/>
        </w:rPr>
        <w:t xml:space="preserve">ADOPTING AMENDMENTS TO </w:t>
      </w:r>
      <w:r w:rsidRPr="00A21AD5">
        <w:rPr>
          <w:spacing w:val="1"/>
          <w:szCs w:val="24"/>
        </w:rPr>
        <w:t>THE CALIFORNIA BUILDING STANDARDS CODE</w:t>
      </w:r>
      <w:r>
        <w:rPr>
          <w:spacing w:val="1"/>
          <w:szCs w:val="24"/>
        </w:rPr>
        <w:t xml:space="preserve"> TO REQUIRE ADDITIONAL ELECTRIC VEHICLE CHARGING INFRASTRUCTURE</w:t>
      </w:r>
    </w:p>
    <w:p w14:paraId="1C57AB96" w14:textId="77777777" w:rsidR="00924234" w:rsidRDefault="00924234" w:rsidP="00924234">
      <w:pPr>
        <w:pStyle w:val="Heading1"/>
      </w:pPr>
      <w:r>
        <w:t>Findings</w:t>
      </w:r>
    </w:p>
    <w:p w14:paraId="6A5E6A7D" w14:textId="77777777" w:rsidR="00924234" w:rsidRDefault="00924234" w:rsidP="00924234">
      <w:pPr>
        <w:rPr>
          <w:rStyle w:val="Instructions"/>
          <w:rFonts w:eastAsia="Calibri"/>
        </w:rPr>
      </w:pPr>
      <w:r w:rsidRPr="006229BB">
        <w:rPr>
          <w:rStyle w:val="Instructions"/>
        </w:rPr>
        <w:t>Insert findings and cite authorizations</w:t>
      </w:r>
      <w:r>
        <w:rPr>
          <w:rStyle w:val="Instructions"/>
        </w:rPr>
        <w:t xml:space="preserve">. </w:t>
      </w:r>
      <w:r w:rsidRPr="009A3E43">
        <w:rPr>
          <w:rStyle w:val="Instructions"/>
        </w:rPr>
        <w:t xml:space="preserve">See </w:t>
      </w:r>
      <w:hyperlink r:id="rId29" w:history="1">
        <w:r w:rsidRPr="009A3E43">
          <w:rPr>
            <w:rStyle w:val="Instructions"/>
            <w:rFonts w:eastAsia="Calibri"/>
            <w:i w:val="0"/>
            <w:iCs w:val="0"/>
            <w:u w:val="single"/>
          </w:rPr>
          <w:t>Guide for Local Amendments of Building Standards 2022</w:t>
        </w:r>
      </w:hyperlink>
      <w:r w:rsidRPr="009A3E43">
        <w:rPr>
          <w:rStyle w:val="Instructions"/>
          <w:rFonts w:eastAsia="Calibri"/>
        </w:rPr>
        <w:t xml:space="preserve"> for more information.</w:t>
      </w:r>
    </w:p>
    <w:p w14:paraId="432824D0" w14:textId="77777777" w:rsidR="00924234" w:rsidRPr="00825745" w:rsidRDefault="00924234" w:rsidP="00924234">
      <w:pPr>
        <w:pStyle w:val="Heading1"/>
        <w:rPr>
          <w:rStyle w:val="Instructions"/>
          <w:i w:val="0"/>
          <w:iCs w:val="0"/>
          <w:sz w:val="32"/>
        </w:rPr>
      </w:pPr>
      <w:r w:rsidRPr="00825745">
        <w:rPr>
          <w:rStyle w:val="Instructions"/>
          <w:i w:val="0"/>
          <w:iCs w:val="0"/>
          <w:sz w:val="32"/>
        </w:rPr>
        <w:t>Sections Amended</w:t>
      </w:r>
    </w:p>
    <w:p w14:paraId="15482F83" w14:textId="3E682249" w:rsidR="00924234" w:rsidRPr="00853022" w:rsidRDefault="00924234" w:rsidP="00924234">
      <w:pPr>
        <w:rPr>
          <w:b/>
          <w:bCs/>
          <w:szCs w:val="24"/>
        </w:rPr>
      </w:pPr>
      <w:r w:rsidRPr="0055508F">
        <w:t xml:space="preserve">The California Building Code, Title 24, Part </w:t>
      </w:r>
      <w:r>
        <w:t>11</w:t>
      </w:r>
      <w:r w:rsidRPr="0055508F">
        <w:t>,</w:t>
      </w:r>
      <w:r>
        <w:t xml:space="preserve"> Green Building Standards Code,</w:t>
      </w:r>
      <w:r w:rsidRPr="0055508F">
        <w:t xml:space="preserve"> adopted by the </w:t>
      </w:r>
      <w:r w:rsidRPr="0055508F">
        <w:rPr>
          <w:rStyle w:val="Instructions"/>
        </w:rPr>
        <w:t>[City/County of jurisdiction]</w:t>
      </w:r>
      <w:r w:rsidRPr="0055508F">
        <w:t xml:space="preserve"> codified under </w:t>
      </w:r>
      <w:r w:rsidRPr="0055508F">
        <w:rPr>
          <w:rStyle w:val="Instructions"/>
        </w:rPr>
        <w:t>Chapter [municipal/county code reference (if not adopted in entirety, include local code references for each section)]</w:t>
      </w:r>
      <w:r w:rsidRPr="0055508F">
        <w:t>, is amended as specified below.</w:t>
      </w:r>
      <w:r w:rsidR="00F448ED">
        <w:t xml:space="preserve"> </w:t>
      </w:r>
      <w:r w:rsidRPr="002F38E7">
        <w:rPr>
          <w:rStyle w:val="Instructions"/>
        </w:rPr>
        <w:t>[Note, if prior amendments were made to the sections below, consider repealing those sections and readopting]</w:t>
      </w:r>
    </w:p>
    <w:p w14:paraId="0D53769B" w14:textId="77777777" w:rsidR="00924234" w:rsidRDefault="00924234" w:rsidP="00924234">
      <w:pPr>
        <w:pStyle w:val="NoSpacing"/>
      </w:pPr>
    </w:p>
    <w:p w14:paraId="55F9CCC2" w14:textId="77777777" w:rsidR="00924234" w:rsidRPr="00A86506" w:rsidRDefault="00924234" w:rsidP="00924234">
      <w:pPr>
        <w:rPr>
          <w:szCs w:val="24"/>
        </w:rPr>
      </w:pPr>
      <w:r w:rsidRPr="00A86506">
        <w:rPr>
          <w:szCs w:val="24"/>
        </w:rPr>
        <w:t xml:space="preserve">Adoption of the </w:t>
      </w:r>
      <w:r w:rsidRPr="007449C6">
        <w:rPr>
          <w:szCs w:val="24"/>
        </w:rPr>
        <w:t>California Code of Regulations Title-24 Part 11: California</w:t>
      </w:r>
      <w:r w:rsidRPr="00A86506">
        <w:rPr>
          <w:szCs w:val="24"/>
        </w:rPr>
        <w:t xml:space="preserve"> Green Building Standards Code 2022 edition as published by the International Code Conference</w:t>
      </w:r>
      <w:r w:rsidRPr="00A97B10">
        <w:rPr>
          <w:szCs w:val="24"/>
        </w:rPr>
        <w:t xml:space="preserve"> and amended herein</w:t>
      </w:r>
      <w:r w:rsidRPr="00A86506">
        <w:rPr>
          <w:szCs w:val="24"/>
        </w:rPr>
        <w:t xml:space="preserve">, including the following appendices: </w:t>
      </w:r>
    </w:p>
    <w:p w14:paraId="6B310E02" w14:textId="77777777" w:rsidR="00924234" w:rsidRPr="007449C6" w:rsidRDefault="00924234" w:rsidP="00924234">
      <w:pPr>
        <w:pStyle w:val="NormalWeb"/>
        <w:rPr>
          <w:rFonts w:cstheme="minorHAnsi"/>
        </w:rPr>
      </w:pPr>
      <w:r w:rsidRPr="007449C6">
        <w:rPr>
          <w:rFonts w:cstheme="minorHAnsi"/>
        </w:rPr>
        <w:t xml:space="preserve">Appendix Chapter A4, Residential Voluntary </w:t>
      </w:r>
      <w:r w:rsidRPr="008B7939">
        <w:rPr>
          <w:rFonts w:cstheme="minorHAnsi"/>
        </w:rPr>
        <w:t>Measures, Tier 2, Sections</w:t>
      </w:r>
      <w:r w:rsidRPr="007449C6">
        <w:rPr>
          <w:rFonts w:cstheme="minorHAnsi"/>
        </w:rPr>
        <w:t xml:space="preserve"> A4.106.8 Electric vehicle (EV) charging for new construction</w:t>
      </w:r>
      <w:r w:rsidRPr="005A3EAA">
        <w:rPr>
          <w:rFonts w:cstheme="minorHAnsi"/>
        </w:rPr>
        <w:t>, A4.601.</w:t>
      </w:r>
      <w:r>
        <w:rPr>
          <w:rFonts w:cstheme="minorHAnsi"/>
        </w:rPr>
        <w:t>5</w:t>
      </w:r>
      <w:r w:rsidRPr="005A3EAA">
        <w:rPr>
          <w:rFonts w:cstheme="minorHAnsi"/>
        </w:rPr>
        <w:t>.1 Mandatory measures for Tier 2, and A4.601.5.2.1.4 Prerequisite and elective measures for Tier 2, as amended herein.</w:t>
      </w:r>
    </w:p>
    <w:p w14:paraId="14E69D41" w14:textId="3924B444" w:rsidR="00924234" w:rsidRDefault="00924234" w:rsidP="00924234">
      <w:pPr>
        <w:rPr>
          <w:szCs w:val="24"/>
        </w:rPr>
      </w:pPr>
      <w:r w:rsidRPr="00BC0324">
        <w:rPr>
          <w:szCs w:val="24"/>
        </w:rPr>
        <w:t>Appendix Chapter A5, Non-Residential Voluntary Measures, Tier 2 including Sections A5.106.5.3 Electric vehicle (EV) charging, and A5.601.4 Compliance verification</w:t>
      </w:r>
      <w:r>
        <w:rPr>
          <w:szCs w:val="24"/>
        </w:rPr>
        <w:t>, as amended herein.</w:t>
      </w:r>
      <w:r w:rsidR="00F448ED">
        <w:rPr>
          <w:szCs w:val="24"/>
        </w:rPr>
        <w:t xml:space="preserve"> </w:t>
      </w:r>
    </w:p>
    <w:p w14:paraId="6E2B8999" w14:textId="77777777" w:rsidR="00924234" w:rsidRPr="00825745" w:rsidRDefault="00924234" w:rsidP="00924234">
      <w:pPr>
        <w:pStyle w:val="Heading1"/>
      </w:pPr>
      <w:r>
        <w:t>Definitions</w:t>
      </w:r>
    </w:p>
    <w:p w14:paraId="174A9B42" w14:textId="77777777" w:rsidR="00924234" w:rsidRPr="00266CDC" w:rsidRDefault="00924234" w:rsidP="00924234">
      <w:pPr>
        <w:autoSpaceDE w:val="0"/>
        <w:autoSpaceDN w:val="0"/>
        <w:adjustRightInd w:val="0"/>
        <w:rPr>
          <w:bCs/>
          <w:szCs w:val="24"/>
        </w:rPr>
      </w:pPr>
      <w:r w:rsidRPr="00266CDC">
        <w:rPr>
          <w:b/>
          <w:szCs w:val="24"/>
        </w:rPr>
        <w:t>Section 202 Definitions</w:t>
      </w:r>
      <w:r w:rsidRPr="00266CDC">
        <w:rPr>
          <w:bCs/>
          <w:szCs w:val="24"/>
        </w:rPr>
        <w:t>, is amended to add or modify the following definitions to read as follows:</w:t>
      </w:r>
    </w:p>
    <w:p w14:paraId="24330360" w14:textId="77777777" w:rsidR="00924234" w:rsidRPr="00266CDC" w:rsidRDefault="00924234" w:rsidP="00924234">
      <w:pPr>
        <w:autoSpaceDE w:val="0"/>
        <w:autoSpaceDN w:val="0"/>
        <w:adjustRightInd w:val="0"/>
        <w:ind w:left="720"/>
        <w:rPr>
          <w:b/>
          <w:szCs w:val="24"/>
        </w:rPr>
      </w:pPr>
    </w:p>
    <w:p w14:paraId="54154FE4" w14:textId="77777777" w:rsidR="00924234" w:rsidRPr="00266CDC" w:rsidRDefault="00924234" w:rsidP="00924234">
      <w:pPr>
        <w:autoSpaceDE w:val="0"/>
        <w:autoSpaceDN w:val="0"/>
        <w:adjustRightInd w:val="0"/>
        <w:ind w:left="720"/>
        <w:rPr>
          <w:strike/>
          <w:szCs w:val="24"/>
        </w:rPr>
      </w:pPr>
      <w:r w:rsidRPr="00266CDC">
        <w:rPr>
          <w:b/>
          <w:szCs w:val="24"/>
        </w:rPr>
        <w:t>ELECTRIC VEHICLE CHARGING STATION (EVCS).</w:t>
      </w:r>
      <w:r w:rsidRPr="00266CDC">
        <w:rPr>
          <w:b/>
          <w:bCs/>
          <w:szCs w:val="24"/>
        </w:rPr>
        <w:t xml:space="preserve"> </w:t>
      </w:r>
      <w:r w:rsidRPr="00266CDC">
        <w:rPr>
          <w:bCs/>
          <w:szCs w:val="24"/>
        </w:rPr>
        <w:t xml:space="preserve">[HCD] </w:t>
      </w:r>
      <w:r w:rsidRPr="00266CDC">
        <w:rPr>
          <w:szCs w:val="24"/>
        </w:rPr>
        <w:t xml:space="preserve">One or more electric vehicle charging spaces served by </w:t>
      </w:r>
      <w:r w:rsidRPr="00266CDC">
        <w:rPr>
          <w:szCs w:val="24"/>
          <w:u w:val="single"/>
        </w:rPr>
        <w:t>EVSE or receptacle(s).</w:t>
      </w:r>
      <w:r w:rsidRPr="00266CDC">
        <w:rPr>
          <w:strike/>
          <w:szCs w:val="24"/>
        </w:rPr>
        <w:t xml:space="preserve">electric vehicle charger(s) or other charging equipment allowing charging of electric vehicles. Electric vehicle charging stations are not considered parking spaces. </w:t>
      </w:r>
    </w:p>
    <w:p w14:paraId="50A6CBBF" w14:textId="77777777" w:rsidR="00924234" w:rsidRPr="00266CDC" w:rsidRDefault="00924234" w:rsidP="00924234">
      <w:pPr>
        <w:autoSpaceDE w:val="0"/>
        <w:autoSpaceDN w:val="0"/>
        <w:adjustRightInd w:val="0"/>
        <w:ind w:left="720"/>
        <w:rPr>
          <w:strike/>
          <w:szCs w:val="24"/>
        </w:rPr>
      </w:pPr>
    </w:p>
    <w:p w14:paraId="29E34A23" w14:textId="77777777" w:rsidR="00924234" w:rsidRPr="00266CDC" w:rsidRDefault="00924234" w:rsidP="00924234">
      <w:pPr>
        <w:autoSpaceDE w:val="0"/>
        <w:autoSpaceDN w:val="0"/>
        <w:adjustRightInd w:val="0"/>
        <w:ind w:left="720"/>
        <w:rPr>
          <w:szCs w:val="24"/>
        </w:rPr>
      </w:pPr>
      <w:r w:rsidRPr="00266CDC">
        <w:rPr>
          <w:b/>
          <w:szCs w:val="24"/>
        </w:rPr>
        <w:t>ELECTRIC VEHICLE SUPPLY EQUIPMENT (EVSE).</w:t>
      </w:r>
      <w:r w:rsidRPr="00266CDC">
        <w:rPr>
          <w:b/>
          <w:bCs/>
          <w:szCs w:val="24"/>
        </w:rPr>
        <w:t xml:space="preserve"> </w:t>
      </w:r>
      <w:r w:rsidRPr="00266CDC">
        <w:rPr>
          <w:bCs/>
          <w:szCs w:val="24"/>
        </w:rPr>
        <w:t>[HCD]</w:t>
      </w:r>
      <w:r w:rsidRPr="00266CDC">
        <w:rPr>
          <w:b/>
          <w:bCs/>
          <w:szCs w:val="24"/>
        </w:rPr>
        <w:t xml:space="preserve"> </w:t>
      </w:r>
      <w:r w:rsidRPr="00266CDC">
        <w:rPr>
          <w:szCs w:val="24"/>
        </w:rPr>
        <w:t>The conductors, including the ungrounded, grounded and</w:t>
      </w:r>
      <w:r w:rsidRPr="00266CDC">
        <w:rPr>
          <w:b/>
          <w:bCs/>
          <w:szCs w:val="24"/>
        </w:rPr>
        <w:t xml:space="preserve"> </w:t>
      </w:r>
      <w:r w:rsidRPr="00266CDC">
        <w:rPr>
          <w:szCs w:val="24"/>
        </w:rPr>
        <w:t>equipment grounding conductors and the electric vehicle connectors,</w:t>
      </w:r>
      <w:r w:rsidRPr="00266CDC">
        <w:rPr>
          <w:b/>
          <w:bCs/>
          <w:szCs w:val="24"/>
        </w:rPr>
        <w:t xml:space="preserve"> </w:t>
      </w:r>
      <w:r w:rsidRPr="00266CDC">
        <w:rPr>
          <w:szCs w:val="24"/>
        </w:rPr>
        <w:t xml:space="preserve">attachment plugs, </w:t>
      </w:r>
      <w:r w:rsidRPr="00266CDC">
        <w:rPr>
          <w:szCs w:val="24"/>
          <w:u w:val="single"/>
        </w:rPr>
        <w:t xml:space="preserve">personnel protection system, </w:t>
      </w:r>
      <w:r w:rsidRPr="00266CDC">
        <w:rPr>
          <w:szCs w:val="24"/>
        </w:rPr>
        <w:t>and all other fittings, devices,</w:t>
      </w:r>
      <w:r w:rsidRPr="00266CDC">
        <w:rPr>
          <w:b/>
          <w:bCs/>
          <w:szCs w:val="24"/>
        </w:rPr>
        <w:t xml:space="preserve"> </w:t>
      </w:r>
      <w:r w:rsidRPr="00266CDC">
        <w:rPr>
          <w:szCs w:val="24"/>
        </w:rPr>
        <w:t>power outlets, or apparatus installed specifically for the purpose</w:t>
      </w:r>
      <w:r w:rsidRPr="00266CDC">
        <w:rPr>
          <w:b/>
          <w:bCs/>
          <w:szCs w:val="24"/>
        </w:rPr>
        <w:t xml:space="preserve"> </w:t>
      </w:r>
      <w:r w:rsidRPr="00266CDC">
        <w:rPr>
          <w:szCs w:val="24"/>
        </w:rPr>
        <w:t>of transferring energy between the premises wiring and</w:t>
      </w:r>
      <w:r w:rsidRPr="00266CDC">
        <w:rPr>
          <w:b/>
          <w:bCs/>
          <w:szCs w:val="24"/>
        </w:rPr>
        <w:t xml:space="preserve"> </w:t>
      </w:r>
      <w:r w:rsidRPr="00266CDC">
        <w:rPr>
          <w:szCs w:val="24"/>
        </w:rPr>
        <w:t>the electric vehicle.</w:t>
      </w:r>
    </w:p>
    <w:p w14:paraId="0F9FDBD6" w14:textId="77777777" w:rsidR="00924234" w:rsidRPr="00266CDC" w:rsidRDefault="00924234" w:rsidP="00924234">
      <w:pPr>
        <w:autoSpaceDE w:val="0"/>
        <w:autoSpaceDN w:val="0"/>
        <w:adjustRightInd w:val="0"/>
        <w:ind w:left="720"/>
        <w:rPr>
          <w:szCs w:val="24"/>
        </w:rPr>
      </w:pPr>
    </w:p>
    <w:p w14:paraId="02C16049" w14:textId="77777777" w:rsidR="00924234" w:rsidRPr="00266CDC" w:rsidRDefault="00924234" w:rsidP="00924234">
      <w:pPr>
        <w:ind w:left="720"/>
        <w:rPr>
          <w:szCs w:val="24"/>
        </w:rPr>
      </w:pPr>
      <w:r w:rsidRPr="00266CDC">
        <w:rPr>
          <w:b/>
          <w:szCs w:val="24"/>
        </w:rPr>
        <w:t xml:space="preserve">LEVEL 2 ELECTRIC VEHICLE SUPPLY EQUIPMENT </w:t>
      </w:r>
      <w:r w:rsidRPr="00266CDC">
        <w:rPr>
          <w:b/>
          <w:strike/>
          <w:szCs w:val="24"/>
        </w:rPr>
        <w:t>(EVSE)</w:t>
      </w:r>
      <w:r w:rsidRPr="00266CDC">
        <w:rPr>
          <w:b/>
          <w:szCs w:val="24"/>
        </w:rPr>
        <w:t>.</w:t>
      </w:r>
      <w:r w:rsidRPr="00266CDC">
        <w:rPr>
          <w:bCs/>
          <w:szCs w:val="24"/>
        </w:rPr>
        <w:t xml:space="preserve"> [HCD] </w:t>
      </w:r>
      <w:r w:rsidRPr="00266CDC">
        <w:rPr>
          <w:szCs w:val="24"/>
        </w:rPr>
        <w:t xml:space="preserve">The 208/240-volt 40-ampere branch circuit, and the electric vehicle charging connectors, attachment plugs and all other fittings, devices, power outlets or apparatus installed specifically for the purpose of transferring energy between the premises wiring and the electric vehicle. </w:t>
      </w:r>
    </w:p>
    <w:p w14:paraId="4F978532" w14:textId="77777777" w:rsidR="00924234" w:rsidRPr="00266CDC" w:rsidRDefault="00924234" w:rsidP="00924234">
      <w:pPr>
        <w:ind w:left="720"/>
        <w:rPr>
          <w:szCs w:val="24"/>
        </w:rPr>
      </w:pPr>
    </w:p>
    <w:p w14:paraId="02DD9D3F" w14:textId="77777777" w:rsidR="00924234" w:rsidRPr="00266CDC" w:rsidRDefault="00924234" w:rsidP="00924234">
      <w:pPr>
        <w:ind w:left="720"/>
        <w:rPr>
          <w:szCs w:val="24"/>
          <w:u w:val="single"/>
        </w:rPr>
      </w:pPr>
      <w:r w:rsidRPr="00266CDC">
        <w:rPr>
          <w:b/>
          <w:bCs/>
          <w:szCs w:val="24"/>
          <w:u w:val="single"/>
        </w:rPr>
        <w:t xml:space="preserve">LEVEL 2 ELECTRIC VEHICLE (EV) CHARGER. </w:t>
      </w:r>
      <w:r w:rsidRPr="00266CDC">
        <w:rPr>
          <w:bCs/>
          <w:szCs w:val="24"/>
        </w:rPr>
        <w:t xml:space="preserve">[HCD] </w:t>
      </w:r>
      <w:r w:rsidRPr="00266CDC">
        <w:rPr>
          <w:szCs w:val="24"/>
          <w:u w:val="single"/>
        </w:rPr>
        <w:t>A 208/240-volt 30-ampere minimum electric vehicle charger connected to the premises electrical system capable of charging electric vehicles.</w:t>
      </w:r>
    </w:p>
    <w:p w14:paraId="0AE62859" w14:textId="77777777" w:rsidR="00924234" w:rsidRPr="00266CDC" w:rsidRDefault="00924234" w:rsidP="00924234">
      <w:pPr>
        <w:ind w:left="720"/>
        <w:rPr>
          <w:szCs w:val="24"/>
          <w:u w:val="single"/>
        </w:rPr>
      </w:pPr>
    </w:p>
    <w:p w14:paraId="3AA68320" w14:textId="77777777" w:rsidR="00924234" w:rsidRPr="00266CDC" w:rsidRDefault="00924234" w:rsidP="00924234">
      <w:pPr>
        <w:ind w:left="720"/>
        <w:rPr>
          <w:szCs w:val="24"/>
          <w:shd w:val="clear" w:color="auto" w:fill="FAF9F8"/>
        </w:rPr>
      </w:pPr>
      <w:r w:rsidRPr="00266CDC">
        <w:rPr>
          <w:b/>
          <w:szCs w:val="24"/>
        </w:rPr>
        <w:t>LOW POWER LEVEL 2 ELECTRIC VEHICLE (EV)</w:t>
      </w:r>
      <w:r w:rsidRPr="00266CDC">
        <w:rPr>
          <w:b/>
          <w:bCs/>
          <w:szCs w:val="24"/>
        </w:rPr>
        <w:t xml:space="preserve"> </w:t>
      </w:r>
      <w:r w:rsidRPr="00266CDC">
        <w:rPr>
          <w:b/>
          <w:szCs w:val="24"/>
        </w:rPr>
        <w:t xml:space="preserve">CHARGING RECEPTACLE. </w:t>
      </w:r>
      <w:r w:rsidRPr="00266CDC">
        <w:rPr>
          <w:bCs/>
          <w:szCs w:val="24"/>
        </w:rPr>
        <w:t>[HCD]</w:t>
      </w:r>
      <w:r w:rsidRPr="00266CDC">
        <w:rPr>
          <w:szCs w:val="24"/>
          <w:shd w:val="clear" w:color="auto" w:fill="FAF9F8"/>
        </w:rPr>
        <w:t xml:space="preserve"> </w:t>
      </w:r>
      <w:r w:rsidRPr="00266CDC">
        <w:rPr>
          <w:szCs w:val="24"/>
        </w:rPr>
        <w:t>A 208/240-volt 20-ampere minimum branch circuit and a receptacle</w:t>
      </w:r>
      <w:r w:rsidRPr="00266CDC">
        <w:rPr>
          <w:strike/>
          <w:szCs w:val="24"/>
        </w:rPr>
        <w:t xml:space="preserve"> for use by an EV driver to charge their electric vehicle or hybrid electric vehicle</w:t>
      </w:r>
      <w:r w:rsidRPr="00266CDC">
        <w:rPr>
          <w:szCs w:val="24"/>
          <w:shd w:val="clear" w:color="auto" w:fill="FAF9F8"/>
        </w:rPr>
        <w:t xml:space="preserve">. </w:t>
      </w:r>
    </w:p>
    <w:p w14:paraId="21013437" w14:textId="77777777" w:rsidR="00924234" w:rsidRDefault="00924234" w:rsidP="00924234">
      <w:pPr>
        <w:rPr>
          <w:szCs w:val="24"/>
          <w:shd w:val="clear" w:color="auto" w:fill="FAF9F8"/>
        </w:rPr>
      </w:pPr>
    </w:p>
    <w:p w14:paraId="463CE51E" w14:textId="77777777" w:rsidR="00924234" w:rsidRDefault="00924234" w:rsidP="00924234">
      <w:pPr>
        <w:rPr>
          <w:rFonts w:eastAsiaTheme="majorEastAsia" w:cstheme="minorHAnsi"/>
          <w:b/>
          <w:bCs/>
          <w:color w:val="0070C0"/>
          <w:kern w:val="32"/>
          <w:sz w:val="32"/>
          <w:szCs w:val="32"/>
          <w:shd w:val="clear" w:color="auto" w:fill="FAF9F8"/>
        </w:rPr>
      </w:pPr>
      <w:r>
        <w:rPr>
          <w:shd w:val="clear" w:color="auto" w:fill="FAF9F8"/>
        </w:rPr>
        <w:br w:type="page"/>
      </w:r>
    </w:p>
    <w:p w14:paraId="292E8026" w14:textId="77777777" w:rsidR="00924234" w:rsidRDefault="00924234" w:rsidP="00924234">
      <w:pPr>
        <w:pStyle w:val="Heading1"/>
        <w:rPr>
          <w:shd w:val="clear" w:color="auto" w:fill="FAF9F8"/>
        </w:rPr>
      </w:pPr>
      <w:r>
        <w:rPr>
          <w:shd w:val="clear" w:color="auto" w:fill="FAF9F8"/>
        </w:rPr>
        <w:t>Residential Requirements</w:t>
      </w:r>
    </w:p>
    <w:p w14:paraId="2CACF289" w14:textId="77777777" w:rsidR="007421A9" w:rsidRDefault="007421A9" w:rsidP="00924234">
      <w:pPr>
        <w:rPr>
          <w:szCs w:val="24"/>
          <w:shd w:val="clear" w:color="auto" w:fill="FAF9F8"/>
        </w:rPr>
      </w:pPr>
    </w:p>
    <w:p w14:paraId="01E14AA3" w14:textId="77777777" w:rsidR="007421A9" w:rsidRDefault="007421A9" w:rsidP="007421A9">
      <w:r w:rsidRPr="00D81735">
        <w:rPr>
          <w:b/>
          <w:bCs/>
          <w:szCs w:val="24"/>
        </w:rPr>
        <w:t>The first paragraph</w:t>
      </w:r>
      <w:r w:rsidRPr="003E08EC">
        <w:rPr>
          <w:b/>
          <w:bCs/>
          <w:szCs w:val="24"/>
        </w:rPr>
        <w:t xml:space="preserve"> of Section </w:t>
      </w:r>
      <w:r w:rsidRPr="003E08EC">
        <w:rPr>
          <w:b/>
          <w:bCs/>
        </w:rPr>
        <w:t>4.106.4 Electric vehicle (EV) charging for new construction</w:t>
      </w:r>
      <w:r w:rsidRPr="00A86506">
        <w:t xml:space="preserve"> is amended to read as follows:</w:t>
      </w:r>
    </w:p>
    <w:p w14:paraId="3AF91307" w14:textId="77777777" w:rsidR="007421A9" w:rsidRPr="00A86506" w:rsidRDefault="007421A9" w:rsidP="007421A9"/>
    <w:p w14:paraId="005BB5C9" w14:textId="77777777" w:rsidR="007421A9" w:rsidRDefault="007421A9" w:rsidP="007421A9">
      <w:pPr>
        <w:ind w:left="720"/>
        <w:textAlignment w:val="baseline"/>
      </w:pPr>
      <w:r w:rsidRPr="00A86506">
        <w:rPr>
          <w:b/>
          <w:bCs/>
        </w:rPr>
        <w:t xml:space="preserve">4.106.4 Electric vehicle (EV) charging for new construction. </w:t>
      </w:r>
      <w:r w:rsidRPr="00A86506">
        <w:t xml:space="preserve">New construction shall comply with Section 4.106.4.1 or 4.106.4.2 </w:t>
      </w:r>
      <w:r w:rsidRPr="00A86506">
        <w:rPr>
          <w:strike/>
        </w:rPr>
        <w:t>to facilitate future installation and use of EV chargers</w:t>
      </w:r>
      <w:r w:rsidRPr="00A86506">
        <w:t xml:space="preserve">. Electric vehicle supply equipment (EVSE) shall </w:t>
      </w:r>
      <w:r w:rsidRPr="00A86506">
        <w:rPr>
          <w:strike/>
        </w:rPr>
        <w:t>be installed in accordance</w:t>
      </w:r>
      <w:r w:rsidRPr="00A86506">
        <w:t xml:space="preserve"> </w:t>
      </w:r>
      <w:r w:rsidRPr="00A86506">
        <w:rPr>
          <w:u w:val="single"/>
        </w:rPr>
        <w:t>comply</w:t>
      </w:r>
      <w:r w:rsidRPr="00A86506">
        <w:t xml:space="preserve"> with the </w:t>
      </w:r>
      <w:r w:rsidRPr="00A86506">
        <w:rPr>
          <w:i/>
          <w:iCs/>
        </w:rPr>
        <w:t>California Electrical Code</w:t>
      </w:r>
      <w:r w:rsidRPr="00A86506">
        <w:rPr>
          <w:strike/>
        </w:rPr>
        <w:t>, Article 625</w:t>
      </w:r>
      <w:r w:rsidRPr="00A86506">
        <w:t>.</w:t>
      </w:r>
    </w:p>
    <w:p w14:paraId="59599A03" w14:textId="77777777" w:rsidR="007421A9" w:rsidRDefault="007421A9" w:rsidP="007421A9">
      <w:pPr>
        <w:textAlignment w:val="baseline"/>
      </w:pPr>
    </w:p>
    <w:p w14:paraId="5D76558F" w14:textId="77777777" w:rsidR="007421A9" w:rsidRDefault="007421A9" w:rsidP="007421A9">
      <w:pPr>
        <w:pStyle w:val="NormalWeb"/>
        <w:spacing w:before="0" w:beforeAutospacing="0" w:after="0" w:afterAutospacing="0"/>
      </w:pPr>
      <w:r w:rsidRPr="00D81735">
        <w:rPr>
          <w:b/>
          <w:bCs/>
        </w:rPr>
        <w:t>The first paragraph</w:t>
      </w:r>
      <w:r w:rsidRPr="003E08EC">
        <w:rPr>
          <w:b/>
          <w:bCs/>
        </w:rPr>
        <w:t xml:space="preserve"> of </w:t>
      </w:r>
      <w:r w:rsidRPr="009002EA">
        <w:rPr>
          <w:b/>
          <w:bCs/>
        </w:rPr>
        <w:t xml:space="preserve">Section 4.106.4.1 New one- and two-family dwellings and townhouses with attached private garages </w:t>
      </w:r>
      <w:r w:rsidRPr="009002EA">
        <w:t xml:space="preserve">is </w:t>
      </w:r>
      <w:r>
        <w:t xml:space="preserve">amended </w:t>
      </w:r>
      <w:r w:rsidRPr="009002EA">
        <w:t>to read as follows:</w:t>
      </w:r>
    </w:p>
    <w:p w14:paraId="1FBD2977" w14:textId="77777777" w:rsidR="007421A9" w:rsidRDefault="007421A9" w:rsidP="007421A9">
      <w:pPr>
        <w:pStyle w:val="NormalWeb"/>
        <w:spacing w:before="0" w:beforeAutospacing="0" w:after="0" w:afterAutospacing="0"/>
      </w:pPr>
    </w:p>
    <w:p w14:paraId="36EC7DE4" w14:textId="2255494A" w:rsidR="007421A9" w:rsidRPr="00B20614" w:rsidRDefault="007421A9" w:rsidP="007421A9">
      <w:pPr>
        <w:pStyle w:val="NormalWeb"/>
        <w:spacing w:before="0" w:beforeAutospacing="0" w:after="0" w:afterAutospacing="0"/>
        <w:ind w:left="720"/>
      </w:pPr>
      <w:r w:rsidRPr="00B20614">
        <w:rPr>
          <w:b/>
          <w:bCs/>
        </w:rPr>
        <w:t>4.106.4.1 New one- and two-family dwellings and townhouses with attached private garages</w:t>
      </w:r>
      <w:r w:rsidRPr="00B20614">
        <w:t>.</w:t>
      </w:r>
      <w:r w:rsidR="00F448ED">
        <w:t xml:space="preserve"> </w:t>
      </w:r>
      <w:r w:rsidRPr="00B20614">
        <w:t>For each dwelling unit</w:t>
      </w:r>
      <w:r>
        <w:t>, i</w:t>
      </w:r>
      <w:r w:rsidRPr="00B20614">
        <w:t>nstall a listed raceway to accommodate a dedicated 208/240-volt branch circuit</w:t>
      </w:r>
      <w:r>
        <w:t xml:space="preserve"> </w:t>
      </w:r>
      <w:r w:rsidRPr="00B20614">
        <w:rPr>
          <w:u w:val="single"/>
        </w:rPr>
        <w:t xml:space="preserve">and </w:t>
      </w:r>
      <w:r w:rsidRPr="00457712">
        <w:rPr>
          <w:u w:val="single"/>
        </w:rPr>
        <w:t>comply</w:t>
      </w:r>
      <w:r w:rsidRPr="00463B0C">
        <w:rPr>
          <w:u w:val="single"/>
        </w:rPr>
        <w:t xml:space="preserve"> with Section A4.106.8.1, Tier 1</w:t>
      </w:r>
      <w:r w:rsidRPr="00B20614">
        <w:t>. The raceway shall not be less than trade size 1 (nominal 1-inch inside diameter). The raceway shall originate at the main service or subpanel and shall terminate into a listed cabinet, box or other enclosure in close proximity to the proposed location of an EV charger. Raceways are required to be continuous at enclosed, inaccessible or concealed areas and spaces. The service panel and/or subpanel shall provide capacity to install a 40-ampere 208/240-volt minimum dedicated branch circuit and space(s) reserved to permit installation of a branch circuit overcurrent protective device.</w:t>
      </w:r>
    </w:p>
    <w:p w14:paraId="29A66E7E" w14:textId="77777777" w:rsidR="007421A9" w:rsidRDefault="007421A9" w:rsidP="007421A9">
      <w:pPr>
        <w:textAlignment w:val="baseline"/>
      </w:pPr>
    </w:p>
    <w:p w14:paraId="70E9A95E" w14:textId="77777777" w:rsidR="007421A9" w:rsidRPr="00A22CDC" w:rsidRDefault="007421A9" w:rsidP="007421A9">
      <w:pPr>
        <w:textAlignment w:val="baseline"/>
      </w:pPr>
      <w:r w:rsidRPr="00A22CDC">
        <w:rPr>
          <w:b/>
          <w:bCs/>
          <w:szCs w:val="24"/>
        </w:rPr>
        <w:t xml:space="preserve">The first paragraph of Section </w:t>
      </w:r>
      <w:r w:rsidRPr="00A22CDC">
        <w:rPr>
          <w:b/>
          <w:bCs/>
        </w:rPr>
        <w:t>4.106.4.2</w:t>
      </w:r>
      <w:r w:rsidRPr="00A22CDC">
        <w:rPr>
          <w:rFonts w:eastAsia="Calibri"/>
          <w:b/>
          <w:bCs/>
          <w:szCs w:val="24"/>
        </w:rPr>
        <w:t xml:space="preserve"> New multifamily dwellings, hotels and motels and new residential parking facilities</w:t>
      </w:r>
      <w:r w:rsidRPr="00A22CDC">
        <w:t xml:space="preserve"> is modified as follows:</w:t>
      </w:r>
    </w:p>
    <w:p w14:paraId="4F1373EF" w14:textId="5F56B9EB" w:rsidR="007421A9" w:rsidRDefault="007421A9" w:rsidP="007421A9">
      <w:pPr>
        <w:autoSpaceDE w:val="0"/>
        <w:autoSpaceDN w:val="0"/>
        <w:adjustRightInd w:val="0"/>
        <w:ind w:left="720"/>
        <w:rPr>
          <w:rFonts w:eastAsia="Calibri"/>
          <w:szCs w:val="24"/>
          <w:u w:val="single"/>
        </w:rPr>
      </w:pPr>
      <w:r w:rsidRPr="00A22CDC">
        <w:rPr>
          <w:rFonts w:eastAsia="Calibri"/>
          <w:b/>
          <w:bCs/>
          <w:szCs w:val="24"/>
        </w:rPr>
        <w:t xml:space="preserve">4.106.4.2 New multifamily dwellings, hotels and motels and new residential parking facilities. </w:t>
      </w:r>
      <w:r w:rsidRPr="00A22CDC">
        <w:rPr>
          <w:rFonts w:eastAsia="Calibri"/>
          <w:szCs w:val="24"/>
        </w:rPr>
        <w:t xml:space="preserve">When parking is provided, parking spaces for new multifamily dwellings, hotels and motels shall meet the </w:t>
      </w:r>
      <w:r w:rsidRPr="009002EA">
        <w:rPr>
          <w:rFonts w:eastAsia="Calibri"/>
          <w:szCs w:val="24"/>
        </w:rPr>
        <w:t xml:space="preserve">requirements </w:t>
      </w:r>
      <w:r w:rsidRPr="007B68DA">
        <w:rPr>
          <w:rFonts w:eastAsia="Calibri"/>
          <w:szCs w:val="24"/>
        </w:rPr>
        <w:t xml:space="preserve">of </w:t>
      </w:r>
      <w:r>
        <w:rPr>
          <w:rFonts w:eastAsia="Calibri"/>
          <w:szCs w:val="24"/>
        </w:rPr>
        <w:t>Sections</w:t>
      </w:r>
      <w:r w:rsidRPr="007B68DA">
        <w:rPr>
          <w:rFonts w:eastAsia="Calibri"/>
          <w:szCs w:val="24"/>
        </w:rPr>
        <w:t xml:space="preserve"> </w:t>
      </w:r>
      <w:r w:rsidRPr="00F922C8">
        <w:rPr>
          <w:rFonts w:eastAsia="Calibri"/>
          <w:strike/>
          <w:szCs w:val="24"/>
        </w:rPr>
        <w:t xml:space="preserve">4.106.4.2.1 and </w:t>
      </w:r>
      <w:r w:rsidRPr="007B68DA">
        <w:rPr>
          <w:rFonts w:eastAsia="Calibri"/>
          <w:szCs w:val="24"/>
        </w:rPr>
        <w:t>4.106.4.2.2</w:t>
      </w:r>
      <w:r w:rsidRPr="00C01C5B">
        <w:rPr>
          <w:rFonts w:eastAsia="Calibri"/>
          <w:strike/>
          <w:szCs w:val="24"/>
        </w:rPr>
        <w:t>.</w:t>
      </w:r>
      <w:r w:rsidR="00F448ED">
        <w:rPr>
          <w:szCs w:val="24"/>
          <w:u w:val="single"/>
        </w:rPr>
        <w:t xml:space="preserve"> </w:t>
      </w:r>
      <w:r w:rsidRPr="00266CDC">
        <w:rPr>
          <w:szCs w:val="24"/>
          <w:u w:val="single"/>
        </w:rPr>
        <w:t>and A4.106</w:t>
      </w:r>
      <w:r w:rsidRPr="00266CDC">
        <w:rPr>
          <w:u w:val="single"/>
        </w:rPr>
        <w:t>.8.2</w:t>
      </w:r>
      <w:r w:rsidRPr="00266CDC">
        <w:rPr>
          <w:rFonts w:eastAsia="Calibri"/>
          <w:szCs w:val="24"/>
          <w:u w:val="single"/>
        </w:rPr>
        <w:t xml:space="preserve">, Tier </w:t>
      </w:r>
      <w:r w:rsidR="00266CDC" w:rsidRPr="00266CDC">
        <w:rPr>
          <w:rFonts w:eastAsia="Calibri"/>
          <w:szCs w:val="24"/>
          <w:u w:val="single"/>
        </w:rPr>
        <w:t>2</w:t>
      </w:r>
      <w:r w:rsidRPr="00266CDC">
        <w:rPr>
          <w:rFonts w:eastAsia="Calibri"/>
          <w:szCs w:val="24"/>
          <w:u w:val="single"/>
        </w:rPr>
        <w:t xml:space="preserve">. </w:t>
      </w:r>
      <w:r w:rsidRPr="00266CDC">
        <w:rPr>
          <w:rFonts w:eastAsia="Calibri"/>
          <w:szCs w:val="24"/>
        </w:rPr>
        <w:t>Calculations for</w:t>
      </w:r>
      <w:r w:rsidRPr="008602B8">
        <w:rPr>
          <w:rFonts w:eastAsia="Calibri"/>
          <w:szCs w:val="24"/>
        </w:rPr>
        <w:t xml:space="preserve"> spaces shall be rounded up to the nearest whole number. </w:t>
      </w:r>
      <w:r w:rsidRPr="00F922C8">
        <w:rPr>
          <w:rFonts w:eastAsia="Calibri"/>
          <w:szCs w:val="24"/>
        </w:rPr>
        <w:t>A parking space served by electric vehicle supply equipment or designed as a</w:t>
      </w:r>
      <w:r w:rsidRPr="008602B8">
        <w:rPr>
          <w:rFonts w:eastAsia="Calibri"/>
          <w:szCs w:val="24"/>
          <w:u w:val="single"/>
        </w:rPr>
        <w:t>n</w:t>
      </w:r>
      <w:r w:rsidRPr="00F922C8">
        <w:rPr>
          <w:rFonts w:eastAsia="Calibri"/>
          <w:szCs w:val="24"/>
        </w:rPr>
        <w:t xml:space="preserve"> </w:t>
      </w:r>
      <w:r w:rsidRPr="008602B8">
        <w:rPr>
          <w:rFonts w:eastAsia="Calibri"/>
          <w:strike/>
          <w:szCs w:val="24"/>
        </w:rPr>
        <w:t xml:space="preserve">future </w:t>
      </w:r>
      <w:r w:rsidRPr="00F922C8">
        <w:rPr>
          <w:rFonts w:eastAsia="Calibri"/>
          <w:szCs w:val="24"/>
        </w:rPr>
        <w:t>EV charging space shall count as at least one standard automobile parking space only for the purpose of complying with any applicable minimum parking space requirements established by a local jurisdiction. See Vehicle Code Section 22511.2 for further details.</w:t>
      </w:r>
    </w:p>
    <w:p w14:paraId="38536A2C" w14:textId="77777777" w:rsidR="007421A9" w:rsidRDefault="007421A9" w:rsidP="007421A9">
      <w:pPr>
        <w:autoSpaceDE w:val="0"/>
        <w:autoSpaceDN w:val="0"/>
        <w:adjustRightInd w:val="0"/>
        <w:rPr>
          <w:rFonts w:eastAsia="Calibri"/>
          <w:b/>
          <w:bCs/>
          <w:szCs w:val="24"/>
          <w:u w:val="single"/>
        </w:rPr>
      </w:pPr>
    </w:p>
    <w:p w14:paraId="731CE55C" w14:textId="77777777" w:rsidR="007421A9" w:rsidRDefault="007421A9" w:rsidP="007421A9">
      <w:r w:rsidRPr="00A86506">
        <w:rPr>
          <w:b/>
          <w:bCs/>
        </w:rPr>
        <w:t>Section 4.106.4.2.1</w:t>
      </w:r>
      <w:r w:rsidRPr="00A86506">
        <w:rPr>
          <w:rFonts w:eastAsia="Calibri"/>
          <w:bCs/>
        </w:rPr>
        <w:t xml:space="preserve"> </w:t>
      </w:r>
      <w:r w:rsidRPr="00A86506">
        <w:rPr>
          <w:rFonts w:eastAsia="Calibri"/>
          <w:b/>
        </w:rPr>
        <w:t>Multifamily development projects with less than 20 dwelling units; and hotels and motels with less than 20 sleeping units or guest rooms</w:t>
      </w:r>
      <w:r w:rsidRPr="00A86506">
        <w:t xml:space="preserve"> is </w:t>
      </w:r>
      <w:r>
        <w:t>deleted</w:t>
      </w:r>
      <w:r w:rsidRPr="00A86506">
        <w:t xml:space="preserve"> in its entirety and Marked as “Reserved”.</w:t>
      </w:r>
    </w:p>
    <w:p w14:paraId="3697F049" w14:textId="77777777" w:rsidR="007421A9" w:rsidRDefault="007421A9" w:rsidP="007421A9">
      <w:pPr>
        <w:autoSpaceDE w:val="0"/>
        <w:autoSpaceDN w:val="0"/>
        <w:adjustRightInd w:val="0"/>
        <w:rPr>
          <w:rFonts w:eastAsia="Calibri"/>
          <w:szCs w:val="24"/>
        </w:rPr>
      </w:pPr>
    </w:p>
    <w:p w14:paraId="7DE9EFB7" w14:textId="77777777" w:rsidR="007421A9" w:rsidRDefault="007421A9" w:rsidP="007421A9">
      <w:r w:rsidRPr="009002EA">
        <w:rPr>
          <w:b/>
          <w:bCs/>
        </w:rPr>
        <w:t>Section 4.106.4.2.2 Multifamily development projects with 20 or more dwelling units, hotels and motels with 20 or more sleeping units or guest rooms</w:t>
      </w:r>
      <w:r w:rsidRPr="009002EA">
        <w:t xml:space="preserve"> </w:t>
      </w:r>
      <w:r w:rsidRPr="00A86506">
        <w:t xml:space="preserve">is </w:t>
      </w:r>
      <w:r>
        <w:t>deleted</w:t>
      </w:r>
      <w:r w:rsidRPr="00A86506">
        <w:t xml:space="preserve"> in its entirety and </w:t>
      </w:r>
      <w:r>
        <w:t>replaced with text to read as follows:</w:t>
      </w:r>
    </w:p>
    <w:p w14:paraId="129E3F76" w14:textId="77777777" w:rsidR="007421A9" w:rsidRPr="0015340F" w:rsidRDefault="007421A9" w:rsidP="007421A9"/>
    <w:p w14:paraId="5BF54EA2" w14:textId="77777777" w:rsidR="007421A9" w:rsidRPr="0015340F" w:rsidRDefault="007421A9" w:rsidP="007421A9">
      <w:pPr>
        <w:ind w:left="720"/>
        <w:rPr>
          <w:rFonts w:eastAsia="Calibri"/>
          <w:b/>
          <w:bCs/>
          <w:szCs w:val="24"/>
          <w:u w:val="single"/>
        </w:rPr>
      </w:pPr>
      <w:r w:rsidRPr="0015340F">
        <w:rPr>
          <w:b/>
          <w:bCs/>
          <w:u w:val="single"/>
        </w:rPr>
        <w:t xml:space="preserve">4.106.4.2.2 </w:t>
      </w:r>
      <w:r w:rsidRPr="0015340F">
        <w:rPr>
          <w:rFonts w:eastAsia="Calibri"/>
          <w:b/>
          <w:bCs/>
          <w:szCs w:val="24"/>
          <w:u w:val="single"/>
        </w:rPr>
        <w:t>Multifamily dwellings, hotels and motels</w:t>
      </w:r>
    </w:p>
    <w:p w14:paraId="6CD6829A" w14:textId="77777777" w:rsidR="007421A9" w:rsidRPr="0015340F" w:rsidRDefault="007421A9" w:rsidP="007421A9">
      <w:pPr>
        <w:ind w:left="1440"/>
        <w:textAlignment w:val="baseline"/>
        <w:rPr>
          <w:b/>
          <w:bCs/>
          <w:szCs w:val="24"/>
          <w:u w:val="single"/>
        </w:rPr>
      </w:pPr>
      <w:r w:rsidRPr="0015340F">
        <w:rPr>
          <w:u w:val="single"/>
        </w:rPr>
        <w:t>1.</w:t>
      </w:r>
      <w:r w:rsidRPr="0015340F">
        <w:rPr>
          <w:b/>
          <w:bCs/>
          <w:szCs w:val="24"/>
        </w:rPr>
        <w:t xml:space="preserve"> </w:t>
      </w:r>
      <w:r w:rsidRPr="0015340F">
        <w:rPr>
          <w:b/>
          <w:bCs/>
          <w:szCs w:val="24"/>
          <w:u w:val="single"/>
        </w:rPr>
        <w:t>EV Ready Parking Spaces with Receptacles</w:t>
      </w:r>
    </w:p>
    <w:p w14:paraId="7C5D4168" w14:textId="77777777" w:rsidR="007421A9" w:rsidRPr="0015340F" w:rsidRDefault="007421A9" w:rsidP="00D95B02">
      <w:pPr>
        <w:ind w:left="2520" w:hanging="360"/>
        <w:textAlignment w:val="baseline"/>
        <w:rPr>
          <w:szCs w:val="24"/>
          <w:u w:val="single"/>
        </w:rPr>
      </w:pPr>
      <w:r w:rsidRPr="0015340F">
        <w:rPr>
          <w:szCs w:val="24"/>
          <w:u w:val="single"/>
        </w:rPr>
        <w:t>a.</w:t>
      </w:r>
      <w:r w:rsidRPr="0015340F">
        <w:rPr>
          <w:szCs w:val="24"/>
          <w:u w:val="single"/>
        </w:rPr>
        <w:tab/>
        <w:t>Reserved</w:t>
      </w:r>
      <w:r>
        <w:rPr>
          <w:szCs w:val="24"/>
          <w:u w:val="single"/>
        </w:rPr>
        <w:t xml:space="preserve"> (see </w:t>
      </w:r>
      <w:r w:rsidRPr="00106DC3">
        <w:rPr>
          <w:szCs w:val="24"/>
          <w:u w:val="single"/>
        </w:rPr>
        <w:t>A4</w:t>
      </w:r>
      <w:r w:rsidRPr="00F922C8">
        <w:rPr>
          <w:szCs w:val="24"/>
          <w:u w:val="single"/>
        </w:rPr>
        <w:t>.106</w:t>
      </w:r>
      <w:r w:rsidRPr="00F922C8">
        <w:rPr>
          <w:u w:val="single"/>
        </w:rPr>
        <w:t>.8.2</w:t>
      </w:r>
      <w:r>
        <w:rPr>
          <w:u w:val="single"/>
        </w:rPr>
        <w:t>)</w:t>
      </w:r>
    </w:p>
    <w:p w14:paraId="20A32F8A" w14:textId="77777777" w:rsidR="007421A9" w:rsidRPr="0015340F" w:rsidRDefault="007421A9" w:rsidP="00D95B02">
      <w:pPr>
        <w:ind w:left="2520" w:hanging="360"/>
        <w:textAlignment w:val="baseline"/>
        <w:rPr>
          <w:szCs w:val="24"/>
          <w:u w:val="single"/>
        </w:rPr>
      </w:pPr>
      <w:r w:rsidRPr="0015340F">
        <w:rPr>
          <w:szCs w:val="24"/>
          <w:u w:val="single"/>
        </w:rPr>
        <w:t>b.</w:t>
      </w:r>
      <w:r w:rsidRPr="0015340F">
        <w:rPr>
          <w:szCs w:val="24"/>
          <w:u w:val="single"/>
        </w:rPr>
        <w:tab/>
        <w:t>Reserved</w:t>
      </w:r>
      <w:r>
        <w:rPr>
          <w:szCs w:val="24"/>
          <w:u w:val="single"/>
        </w:rPr>
        <w:t xml:space="preserve"> (see </w:t>
      </w:r>
      <w:r w:rsidRPr="00106DC3">
        <w:rPr>
          <w:szCs w:val="24"/>
          <w:u w:val="single"/>
        </w:rPr>
        <w:t>A4</w:t>
      </w:r>
      <w:r w:rsidRPr="00F922C8">
        <w:rPr>
          <w:szCs w:val="24"/>
          <w:u w:val="single"/>
        </w:rPr>
        <w:t>.106</w:t>
      </w:r>
      <w:r w:rsidRPr="00F922C8">
        <w:rPr>
          <w:u w:val="single"/>
        </w:rPr>
        <w:t>.8.2</w:t>
      </w:r>
      <w:r>
        <w:rPr>
          <w:u w:val="single"/>
        </w:rPr>
        <w:t>)</w:t>
      </w:r>
      <w:r w:rsidRPr="00237D49">
        <w:rPr>
          <w:rStyle w:val="FootnoteReference"/>
          <w:color w:val="00B0F0"/>
          <w:u w:val="single"/>
        </w:rPr>
        <w:footnoteReference w:id="8"/>
      </w:r>
    </w:p>
    <w:p w14:paraId="2F63853E" w14:textId="29001E7A" w:rsidR="007421A9" w:rsidRPr="00D95B02" w:rsidRDefault="007421A9" w:rsidP="00D95B02">
      <w:pPr>
        <w:ind w:left="2520" w:hanging="360"/>
        <w:textAlignment w:val="baseline"/>
        <w:rPr>
          <w:rFonts w:cstheme="minorHAnsi"/>
          <w:szCs w:val="24"/>
          <w:u w:val="single"/>
        </w:rPr>
      </w:pPr>
      <w:r w:rsidRPr="0015340F">
        <w:rPr>
          <w:szCs w:val="24"/>
          <w:u w:val="single"/>
        </w:rPr>
        <w:t>c.</w:t>
      </w:r>
      <w:r w:rsidRPr="0015340F">
        <w:rPr>
          <w:szCs w:val="24"/>
          <w:u w:val="single"/>
        </w:rPr>
        <w:tab/>
      </w:r>
      <w:r w:rsidRPr="0015340F">
        <w:rPr>
          <w:b/>
          <w:bCs/>
          <w:u w:val="single"/>
        </w:rPr>
        <w:t xml:space="preserve">Receptacle Power Source. </w:t>
      </w:r>
      <w:r w:rsidR="00905939" w:rsidRPr="00124BE8">
        <w:rPr>
          <w:rFonts w:eastAsia="Calibri" w:cstheme="minorHAnsi"/>
          <w:u w:val="single"/>
        </w:rPr>
        <w:t xml:space="preserve">EV charging receptacles in multifamily </w:t>
      </w:r>
      <w:r w:rsidR="00905939" w:rsidRPr="00DC6928">
        <w:rPr>
          <w:rFonts w:eastAsia="Calibri" w:cstheme="minorHAnsi"/>
          <w:u w:val="single"/>
        </w:rPr>
        <w:t xml:space="preserve">parking facilities </w:t>
      </w:r>
      <w:r w:rsidR="00203618" w:rsidRPr="00DC6928">
        <w:rPr>
          <w:rFonts w:eastAsia="Calibri" w:cstheme="minorHAnsi"/>
          <w:u w:val="single"/>
        </w:rPr>
        <w:t xml:space="preserve">facilities at assigned parking spaces </w:t>
      </w:r>
      <w:r w:rsidR="00905939" w:rsidRPr="00DC6928">
        <w:rPr>
          <w:rFonts w:eastAsia="Calibri" w:cstheme="minorHAnsi"/>
          <w:u w:val="single"/>
        </w:rPr>
        <w:t>shall be provided</w:t>
      </w:r>
      <w:r w:rsidR="00905939" w:rsidRPr="00124BE8">
        <w:rPr>
          <w:rFonts w:eastAsia="Calibri" w:cstheme="minorHAnsi"/>
          <w:u w:val="single"/>
        </w:rPr>
        <w:t xml:space="preserve"> with a dedicated branch circuit connected to the dwelling unit’s electrical </w:t>
      </w:r>
      <w:r w:rsidR="00905939" w:rsidRPr="00787A26">
        <w:rPr>
          <w:rFonts w:eastAsia="Calibri" w:cstheme="minorHAnsi"/>
          <w:u w:val="single"/>
        </w:rPr>
        <w:t>pan</w:t>
      </w:r>
      <w:r w:rsidR="00905939" w:rsidRPr="001118C9">
        <w:rPr>
          <w:rFonts w:eastAsia="Calibri" w:cstheme="minorHAnsi"/>
          <w:u w:val="single"/>
        </w:rPr>
        <w:t>el</w:t>
      </w:r>
      <w:r w:rsidR="00905939">
        <w:rPr>
          <w:rFonts w:eastAsia="Calibri" w:cstheme="minorHAnsi"/>
          <w:u w:val="single"/>
        </w:rPr>
        <w:t xml:space="preserve">.  </w:t>
      </w:r>
      <w:r w:rsidR="000C1174" w:rsidRPr="004E0D3C">
        <w:rPr>
          <w:rStyle w:val="Instructions"/>
          <w:rFonts w:eastAsia="Calibri"/>
        </w:rPr>
        <w:t>[Optional</w:t>
      </w:r>
      <w:r w:rsidR="000C1174" w:rsidRPr="003F22BA">
        <w:rPr>
          <w:rStyle w:val="Instructions"/>
          <w:rFonts w:eastAsia="Calibri"/>
          <w:u w:val="single"/>
        </w:rPr>
        <w:t xml:space="preserve">] </w:t>
      </w:r>
      <w:r w:rsidR="000C1174" w:rsidRPr="003F22BA">
        <w:rPr>
          <w:rStyle w:val="Instructions"/>
          <w:u w:val="single"/>
        </w:rPr>
        <w:t>All conductors shall be sized to support a minimum 208/240-volt 40-ampere circuit.</w:t>
      </w:r>
      <w:r w:rsidR="000C1174" w:rsidRPr="004E0D3C">
        <w:rPr>
          <w:rStyle w:val="FootnoteReference"/>
          <w:rFonts w:cstheme="minorHAnsi"/>
          <w:color w:val="0070C0"/>
          <w:u w:val="single"/>
        </w:rPr>
        <w:footnoteReference w:id="9"/>
      </w:r>
      <w:r w:rsidR="000C1174" w:rsidRPr="004E0D3C">
        <w:rPr>
          <w:rFonts w:cstheme="minorHAnsi"/>
          <w:color w:val="0070C0"/>
          <w:u w:val="single"/>
        </w:rPr>
        <w:t xml:space="preserve"> </w:t>
      </w:r>
      <w:r w:rsidR="00905939" w:rsidRPr="001118C9">
        <w:rPr>
          <w:rFonts w:cstheme="minorHAnsi"/>
          <w:color w:val="3F3F3F"/>
          <w:u w:val="single"/>
        </w:rPr>
        <w:t xml:space="preserve"> These requirements apply </w:t>
      </w:r>
      <w:r w:rsidR="00905939" w:rsidRPr="00124BE8">
        <w:rPr>
          <w:rFonts w:eastAsia="Calibri" w:cstheme="minorHAnsi"/>
          <w:u w:val="single"/>
        </w:rPr>
        <w:t>unless determined as infeasible by the project builder or designer and subject to concurrence of the local enforcing agency</w:t>
      </w:r>
      <w:r w:rsidRPr="00D95B02">
        <w:rPr>
          <w:rFonts w:eastAsia="Calibri" w:cstheme="minorHAnsi"/>
        </w:rPr>
        <w:t>.</w:t>
      </w:r>
    </w:p>
    <w:p w14:paraId="17FB79A3" w14:textId="77777777" w:rsidR="007421A9" w:rsidRPr="00924CE7" w:rsidRDefault="007421A9" w:rsidP="007421A9">
      <w:pPr>
        <w:pStyle w:val="paragraph"/>
        <w:spacing w:before="120" w:beforeAutospacing="0" w:after="120" w:afterAutospacing="0"/>
        <w:ind w:left="2880"/>
        <w:textAlignment w:val="baseline"/>
        <w:rPr>
          <w:rFonts w:asciiTheme="minorHAnsi" w:hAnsiTheme="minorHAnsi" w:cstheme="minorHAnsi"/>
          <w:b/>
          <w:bCs/>
          <w:u w:val="single"/>
        </w:rPr>
      </w:pPr>
      <w:r w:rsidRPr="00D95B02">
        <w:rPr>
          <w:rFonts w:asciiTheme="minorHAnsi" w:hAnsiTheme="minorHAnsi" w:cstheme="minorHAnsi"/>
          <w:b/>
          <w:bCs/>
          <w:u w:val="single"/>
        </w:rPr>
        <w:t xml:space="preserve">Exception: </w:t>
      </w:r>
      <w:r w:rsidRPr="00D95B02">
        <w:rPr>
          <w:rFonts w:asciiTheme="minorHAnsi" w:hAnsiTheme="minorHAnsi" w:cstheme="minorHAnsi"/>
          <w:u w:val="single"/>
        </w:rPr>
        <w:t>Areas of parking facilities served by parking lifts,</w:t>
      </w:r>
      <w:r w:rsidRPr="00D95B02">
        <w:rPr>
          <w:rFonts w:asciiTheme="minorHAnsi" w:hAnsiTheme="minorHAnsi" w:cstheme="minorHAnsi"/>
        </w:rPr>
        <w:t xml:space="preserve"> </w:t>
      </w:r>
      <w:r w:rsidRPr="00D95B02">
        <w:rPr>
          <w:rFonts w:asciiTheme="minorHAnsi" w:hAnsiTheme="minorHAnsi" w:cstheme="minorHAnsi"/>
          <w:u w:val="single"/>
        </w:rPr>
        <w:t xml:space="preserve">including but not limited to automated mechanical-access open parking garages as defined in the California Building Code; or </w:t>
      </w:r>
      <w:r w:rsidRPr="00924CE7">
        <w:rPr>
          <w:rFonts w:asciiTheme="minorHAnsi" w:hAnsiTheme="minorHAnsi" w:cstheme="minorHAnsi"/>
          <w:u w:val="single"/>
        </w:rPr>
        <w:t>parking facilities otherwise incapable of supporting electric vehicle charging.</w:t>
      </w:r>
    </w:p>
    <w:p w14:paraId="25761B16" w14:textId="77777777" w:rsidR="007421A9" w:rsidRPr="00924CE7" w:rsidRDefault="007421A9" w:rsidP="00D95B02">
      <w:pPr>
        <w:pStyle w:val="paragraph"/>
        <w:spacing w:before="120" w:beforeAutospacing="0" w:after="120" w:afterAutospacing="0"/>
        <w:ind w:left="2520" w:hanging="360"/>
        <w:textAlignment w:val="baseline"/>
        <w:rPr>
          <w:rFonts w:asciiTheme="minorHAnsi" w:hAnsiTheme="minorHAnsi" w:cstheme="minorHAnsi"/>
        </w:rPr>
      </w:pPr>
      <w:r w:rsidRPr="00924CE7">
        <w:rPr>
          <w:rFonts w:asciiTheme="minorHAnsi" w:hAnsiTheme="minorHAnsi" w:cstheme="minorHAnsi"/>
          <w:u w:val="single"/>
        </w:rPr>
        <w:t>d.</w:t>
      </w:r>
      <w:r w:rsidRPr="00924CE7">
        <w:rPr>
          <w:rFonts w:asciiTheme="minorHAnsi" w:hAnsiTheme="minorHAnsi" w:cstheme="minorHAnsi"/>
          <w:u w:val="single"/>
        </w:rPr>
        <w:tab/>
      </w:r>
      <w:r w:rsidRPr="00924CE7">
        <w:rPr>
          <w:rFonts w:asciiTheme="minorHAnsi" w:hAnsiTheme="minorHAnsi" w:cstheme="minorHAnsi"/>
          <w:b/>
          <w:bCs/>
          <w:u w:val="single"/>
        </w:rPr>
        <w:t>Receptacle Configurations.</w:t>
      </w:r>
      <w:r w:rsidRPr="00924CE7">
        <w:rPr>
          <w:rFonts w:asciiTheme="minorHAnsi" w:hAnsiTheme="minorHAnsi" w:cstheme="minorHAnsi"/>
          <w:b/>
          <w:bCs/>
        </w:rPr>
        <w:t xml:space="preserve"> </w:t>
      </w:r>
      <w:r w:rsidRPr="00924CE7">
        <w:rPr>
          <w:rFonts w:asciiTheme="minorHAnsi" w:eastAsia="Calibri" w:hAnsiTheme="minorHAnsi" w:cstheme="minorHAnsi"/>
          <w:u w:val="single"/>
        </w:rPr>
        <w:t>208/240V EV charging receptacles shall comply with one of the following configurations:</w:t>
      </w:r>
    </w:p>
    <w:p w14:paraId="3EF9EFA9" w14:textId="77777777" w:rsidR="007421A9" w:rsidRPr="00924CE7" w:rsidRDefault="007421A9" w:rsidP="00855F15">
      <w:pPr>
        <w:pStyle w:val="paragraph"/>
        <w:numPr>
          <w:ilvl w:val="3"/>
          <w:numId w:val="16"/>
        </w:numPr>
        <w:spacing w:before="120" w:beforeAutospacing="0" w:after="120" w:afterAutospacing="0"/>
        <w:textAlignment w:val="baseline"/>
        <w:rPr>
          <w:rFonts w:asciiTheme="minorHAnsi" w:hAnsiTheme="minorHAnsi" w:cstheme="minorHAnsi"/>
          <w:u w:val="single"/>
        </w:rPr>
      </w:pPr>
      <w:r w:rsidRPr="00924CE7">
        <w:rPr>
          <w:rFonts w:asciiTheme="minorHAnsi" w:hAnsiTheme="minorHAnsi" w:cstheme="minorHAnsi"/>
          <w:u w:val="single"/>
        </w:rPr>
        <w:t xml:space="preserve">For </w:t>
      </w:r>
      <w:r w:rsidRPr="00924CE7">
        <w:rPr>
          <w:rFonts w:asciiTheme="minorHAnsi" w:eastAsia="Calibri" w:hAnsiTheme="minorHAnsi" w:cstheme="minorHAnsi"/>
          <w:u w:val="single"/>
        </w:rPr>
        <w:t>20- ampere receptacles, NEMA 6-20R</w:t>
      </w:r>
    </w:p>
    <w:p w14:paraId="156C09FA" w14:textId="77777777" w:rsidR="007421A9" w:rsidRPr="00924CE7" w:rsidRDefault="007421A9" w:rsidP="00855F15">
      <w:pPr>
        <w:pStyle w:val="paragraph"/>
        <w:numPr>
          <w:ilvl w:val="3"/>
          <w:numId w:val="16"/>
        </w:numPr>
        <w:spacing w:before="120" w:beforeAutospacing="0" w:after="120" w:afterAutospacing="0"/>
        <w:textAlignment w:val="baseline"/>
        <w:rPr>
          <w:rFonts w:asciiTheme="minorHAnsi" w:hAnsiTheme="minorHAnsi" w:cstheme="minorHAnsi"/>
          <w:u w:val="single"/>
        </w:rPr>
      </w:pPr>
      <w:r w:rsidRPr="00924CE7">
        <w:rPr>
          <w:rFonts w:asciiTheme="minorHAnsi" w:hAnsiTheme="minorHAnsi" w:cstheme="minorHAnsi"/>
          <w:u w:val="single"/>
        </w:rPr>
        <w:t xml:space="preserve">For </w:t>
      </w:r>
      <w:r w:rsidRPr="00924CE7">
        <w:rPr>
          <w:rFonts w:asciiTheme="minorHAnsi" w:eastAsia="Calibri" w:hAnsiTheme="minorHAnsi" w:cstheme="minorHAnsi"/>
          <w:u w:val="single"/>
        </w:rPr>
        <w:t>30- ampere receptacles, NEMA 14-30R</w:t>
      </w:r>
    </w:p>
    <w:p w14:paraId="6CC77EA7" w14:textId="77777777" w:rsidR="007421A9" w:rsidRPr="00924CE7" w:rsidRDefault="007421A9" w:rsidP="00855F15">
      <w:pPr>
        <w:pStyle w:val="paragraph"/>
        <w:numPr>
          <w:ilvl w:val="3"/>
          <w:numId w:val="16"/>
        </w:numPr>
        <w:spacing w:before="120" w:beforeAutospacing="0" w:after="120" w:afterAutospacing="0"/>
        <w:textAlignment w:val="baseline"/>
        <w:rPr>
          <w:rFonts w:asciiTheme="minorHAnsi" w:hAnsiTheme="minorHAnsi" w:cstheme="minorHAnsi"/>
          <w:u w:val="single"/>
        </w:rPr>
      </w:pPr>
      <w:r w:rsidRPr="00924CE7">
        <w:rPr>
          <w:rFonts w:asciiTheme="minorHAnsi" w:hAnsiTheme="minorHAnsi" w:cstheme="minorHAnsi"/>
          <w:u w:val="single"/>
        </w:rPr>
        <w:t xml:space="preserve">For </w:t>
      </w:r>
      <w:r w:rsidRPr="00924CE7">
        <w:rPr>
          <w:rFonts w:asciiTheme="minorHAnsi" w:eastAsia="Calibri" w:hAnsiTheme="minorHAnsi" w:cstheme="minorHAnsi"/>
          <w:u w:val="single"/>
        </w:rPr>
        <w:t>50- ampere receptacles, NEMA 14-50R</w:t>
      </w:r>
    </w:p>
    <w:p w14:paraId="3C52CDC5" w14:textId="77777777" w:rsidR="007421A9" w:rsidRPr="00924CE7" w:rsidRDefault="007421A9" w:rsidP="007421A9">
      <w:pPr>
        <w:pStyle w:val="paragraph"/>
        <w:spacing w:before="120" w:beforeAutospacing="0" w:after="120" w:afterAutospacing="0"/>
        <w:ind w:left="1440"/>
        <w:textAlignment w:val="baseline"/>
        <w:rPr>
          <w:rFonts w:asciiTheme="minorHAnsi" w:hAnsiTheme="minorHAnsi" w:cstheme="minorHAnsi"/>
          <w:u w:val="single"/>
        </w:rPr>
      </w:pPr>
      <w:r w:rsidRPr="00924CE7">
        <w:rPr>
          <w:rFonts w:asciiTheme="minorHAnsi" w:eastAsia="Calibri" w:hAnsiTheme="minorHAnsi" w:cstheme="minorHAnsi"/>
          <w:u w:val="single"/>
        </w:rPr>
        <w:t>2. Reserved</w:t>
      </w:r>
    </w:p>
    <w:p w14:paraId="4FACD735" w14:textId="77777777" w:rsidR="007421A9" w:rsidRDefault="007421A9" w:rsidP="007421A9">
      <w:pPr>
        <w:textAlignment w:val="baseline"/>
        <w:rPr>
          <w:b/>
          <w:bCs/>
        </w:rPr>
      </w:pPr>
    </w:p>
    <w:p w14:paraId="34C8E186" w14:textId="77777777" w:rsidR="007421A9" w:rsidRDefault="007421A9" w:rsidP="007421A9">
      <w:pPr>
        <w:textAlignment w:val="baseline"/>
      </w:pPr>
      <w:r w:rsidRPr="002740C6">
        <w:rPr>
          <w:b/>
          <w:bCs/>
        </w:rPr>
        <w:t xml:space="preserve">Section 4.106.4.2.2.1 </w:t>
      </w:r>
      <w:r w:rsidRPr="002740C6">
        <w:rPr>
          <w:rFonts w:eastAsia="Calibri" w:cs="Arial"/>
          <w:b/>
          <w:bCs/>
          <w:szCs w:val="24"/>
        </w:rPr>
        <w:t>Electric</w:t>
      </w:r>
      <w:r w:rsidRPr="001B2993">
        <w:rPr>
          <w:rFonts w:eastAsia="Calibri" w:cs="Arial"/>
          <w:b/>
          <w:bCs/>
          <w:szCs w:val="24"/>
        </w:rPr>
        <w:t xml:space="preserve"> vehicle charging stations (EVCS) </w:t>
      </w:r>
      <w:r w:rsidRPr="002740C6">
        <w:t>is amended to read as follows:</w:t>
      </w:r>
    </w:p>
    <w:p w14:paraId="1980A048" w14:textId="77777777" w:rsidR="007421A9" w:rsidRPr="002740C6" w:rsidRDefault="007421A9" w:rsidP="007421A9">
      <w:pPr>
        <w:textAlignment w:val="baseline"/>
        <w:rPr>
          <w:b/>
          <w:bCs/>
        </w:rPr>
      </w:pPr>
    </w:p>
    <w:p w14:paraId="7691B262" w14:textId="77777777" w:rsidR="007421A9" w:rsidRPr="001B2993" w:rsidRDefault="007421A9" w:rsidP="007421A9">
      <w:pPr>
        <w:spacing w:line="259" w:lineRule="auto"/>
        <w:ind w:left="720"/>
        <w:rPr>
          <w:rFonts w:eastAsia="Calibri" w:cs="Arial"/>
          <w:szCs w:val="24"/>
        </w:rPr>
      </w:pPr>
      <w:r w:rsidRPr="002740C6">
        <w:rPr>
          <w:rFonts w:eastAsia="Calibri" w:cs="Arial"/>
          <w:b/>
          <w:bCs/>
          <w:szCs w:val="24"/>
        </w:rPr>
        <w:t>4.106.4.2.2.1 Electric</w:t>
      </w:r>
      <w:r w:rsidRPr="001B2993">
        <w:rPr>
          <w:rFonts w:eastAsia="Calibri" w:cs="Arial"/>
          <w:b/>
          <w:bCs/>
          <w:szCs w:val="24"/>
        </w:rPr>
        <w:t xml:space="preserve"> vehicle charging stations (EVCS) </w:t>
      </w:r>
      <w:r w:rsidRPr="001B2993">
        <w:rPr>
          <w:rFonts w:eastAsia="Calibri" w:cs="Arial"/>
          <w:szCs w:val="24"/>
        </w:rPr>
        <w:t>Electric vehicle charging stations required by Section 4.106.4.2</w:t>
      </w:r>
      <w:r w:rsidRPr="006112F6">
        <w:rPr>
          <w:rFonts w:eastAsia="Calibri" w:cs="Arial"/>
          <w:strike/>
          <w:szCs w:val="24"/>
        </w:rPr>
        <w:t>.2</w:t>
      </w:r>
      <w:r w:rsidRPr="001B2993">
        <w:rPr>
          <w:rFonts w:eastAsia="Calibri" w:cs="Arial"/>
          <w:strike/>
          <w:szCs w:val="24"/>
        </w:rPr>
        <w:t>.1.2, Item 3</w:t>
      </w:r>
      <w:r w:rsidRPr="001B2993">
        <w:rPr>
          <w:rFonts w:eastAsia="Calibri" w:cs="Arial"/>
          <w:szCs w:val="24"/>
        </w:rPr>
        <w:t xml:space="preserve">, </w:t>
      </w:r>
      <w:r w:rsidRPr="001B2993">
        <w:rPr>
          <w:rFonts w:eastAsia="Calibri" w:cs="Arial"/>
          <w:szCs w:val="24"/>
          <w:u w:val="single"/>
        </w:rPr>
        <w:t xml:space="preserve">with EV chargers installed </w:t>
      </w:r>
      <w:r w:rsidRPr="001B2993">
        <w:rPr>
          <w:rFonts w:eastAsia="Calibri" w:cs="Arial"/>
          <w:szCs w:val="24"/>
        </w:rPr>
        <w:t>shall comply with Section 4.106.4.2.2.1.1.</w:t>
      </w:r>
    </w:p>
    <w:p w14:paraId="4E755DB3" w14:textId="77777777" w:rsidR="007421A9" w:rsidRDefault="007421A9" w:rsidP="007421A9">
      <w:pPr>
        <w:ind w:left="720"/>
        <w:textAlignment w:val="baseline"/>
        <w:rPr>
          <w:rFonts w:eastAsia="Calibri"/>
          <w:szCs w:val="24"/>
          <w:highlight w:val="yellow"/>
        </w:rPr>
      </w:pPr>
    </w:p>
    <w:p w14:paraId="07987EDD" w14:textId="77777777" w:rsidR="007421A9" w:rsidRDefault="007421A9" w:rsidP="007421A9">
      <w:pPr>
        <w:ind w:left="1440"/>
        <w:textAlignment w:val="baseline"/>
        <w:rPr>
          <w:rFonts w:eastAsia="Calibri"/>
          <w:szCs w:val="24"/>
        </w:rPr>
      </w:pPr>
      <w:r w:rsidRPr="005A063D">
        <w:rPr>
          <w:rFonts w:eastAsia="Calibri"/>
          <w:b/>
          <w:bCs/>
          <w:szCs w:val="24"/>
        </w:rPr>
        <w:t>Exception:</w:t>
      </w:r>
      <w:r w:rsidRPr="005A063D">
        <w:rPr>
          <w:rFonts w:eastAsia="Calibri"/>
          <w:szCs w:val="24"/>
        </w:rPr>
        <w:t xml:space="preserve"> Electric vehicle charging stations serving public accommodations, public housing, motels and hotels shall not be required to comply with this section. See California Building Code, Chapter 11B, for applicable requirements.</w:t>
      </w:r>
    </w:p>
    <w:p w14:paraId="004787CE" w14:textId="77777777" w:rsidR="007421A9" w:rsidRPr="00DF0A18" w:rsidRDefault="007421A9" w:rsidP="007421A9">
      <w:pPr>
        <w:ind w:left="720"/>
        <w:textAlignment w:val="baseline"/>
        <w:rPr>
          <w:rFonts w:eastAsia="Calibri"/>
          <w:szCs w:val="24"/>
          <w:highlight w:val="yellow"/>
        </w:rPr>
      </w:pPr>
    </w:p>
    <w:p w14:paraId="5331A10F" w14:textId="77777777" w:rsidR="007421A9" w:rsidRPr="001B2993" w:rsidRDefault="007421A9" w:rsidP="007421A9">
      <w:pPr>
        <w:rPr>
          <w:rFonts w:eastAsia="Calibri"/>
          <w:szCs w:val="24"/>
        </w:rPr>
      </w:pPr>
      <w:r w:rsidRPr="001B2993">
        <w:rPr>
          <w:rFonts w:eastAsia="Calibri"/>
          <w:b/>
          <w:bCs/>
          <w:szCs w:val="24"/>
        </w:rPr>
        <w:t>Section 4.106.4.2.2.1.1 Location</w:t>
      </w:r>
      <w:r w:rsidRPr="001B2993">
        <w:rPr>
          <w:rFonts w:eastAsia="Calibri"/>
          <w:szCs w:val="24"/>
        </w:rPr>
        <w:t xml:space="preserve"> is </w:t>
      </w:r>
      <w:r>
        <w:rPr>
          <w:rFonts w:eastAsia="Calibri"/>
          <w:szCs w:val="24"/>
        </w:rPr>
        <w:t>deleted</w:t>
      </w:r>
      <w:r w:rsidRPr="001B2993">
        <w:rPr>
          <w:rFonts w:eastAsia="Calibri"/>
          <w:szCs w:val="24"/>
        </w:rPr>
        <w:t xml:space="preserve"> in its entirety.</w:t>
      </w:r>
    </w:p>
    <w:p w14:paraId="31FC9145" w14:textId="77777777" w:rsidR="007421A9" w:rsidRPr="00DF0A18" w:rsidRDefault="007421A9" w:rsidP="007421A9">
      <w:pPr>
        <w:rPr>
          <w:rFonts w:eastAsia="Calibri"/>
          <w:szCs w:val="24"/>
          <w:highlight w:val="yellow"/>
        </w:rPr>
      </w:pPr>
    </w:p>
    <w:p w14:paraId="415DDD9B" w14:textId="77777777" w:rsidR="007421A9" w:rsidRPr="001B2993" w:rsidRDefault="007421A9" w:rsidP="007421A9">
      <w:pPr>
        <w:textAlignment w:val="baseline"/>
        <w:rPr>
          <w:szCs w:val="24"/>
        </w:rPr>
      </w:pPr>
      <w:r w:rsidRPr="001B2993">
        <w:rPr>
          <w:rFonts w:eastAsia="Calibri"/>
          <w:b/>
          <w:bCs/>
          <w:szCs w:val="24"/>
        </w:rPr>
        <w:t>Section 4.106.4.2.2.1.2 Electric vehicle charging stations (EVCS) dimensions</w:t>
      </w:r>
      <w:r w:rsidRPr="001B2993">
        <w:rPr>
          <w:rFonts w:eastAsia="Calibri"/>
          <w:szCs w:val="24"/>
        </w:rPr>
        <w:t xml:space="preserve"> is renumbered as Section 4.106.4.2.2.1.1 and </w:t>
      </w:r>
      <w:r w:rsidRPr="001B2993">
        <w:rPr>
          <w:szCs w:val="24"/>
        </w:rPr>
        <w:t>amended to read as follows:</w:t>
      </w:r>
    </w:p>
    <w:p w14:paraId="490B5F78" w14:textId="77777777" w:rsidR="007421A9" w:rsidRPr="00924CE7" w:rsidRDefault="007421A9" w:rsidP="007421A9">
      <w:pPr>
        <w:autoSpaceDE w:val="0"/>
        <w:autoSpaceDN w:val="0"/>
        <w:adjustRightInd w:val="0"/>
        <w:ind w:left="360"/>
        <w:rPr>
          <w:rFonts w:eastAsia="Calibri" w:cstheme="minorHAnsi"/>
          <w:b/>
          <w:szCs w:val="24"/>
        </w:rPr>
      </w:pPr>
      <w:r w:rsidRPr="00924CE7">
        <w:rPr>
          <w:rFonts w:eastAsia="Calibri" w:cstheme="minorHAnsi"/>
          <w:b/>
          <w:szCs w:val="24"/>
        </w:rPr>
        <w:t>4.106.4.2.2.1.</w:t>
      </w:r>
      <w:r w:rsidRPr="00924CE7">
        <w:rPr>
          <w:rFonts w:eastAsia="Calibri" w:cstheme="minorHAnsi"/>
          <w:b/>
          <w:strike/>
          <w:szCs w:val="24"/>
        </w:rPr>
        <w:t>2</w:t>
      </w:r>
      <w:r w:rsidRPr="00924CE7">
        <w:rPr>
          <w:rFonts w:eastAsia="Calibri" w:cstheme="minorHAnsi"/>
          <w:b/>
          <w:szCs w:val="24"/>
          <w:u w:val="single"/>
        </w:rPr>
        <w:t>1</w:t>
      </w:r>
      <w:r w:rsidRPr="00924CE7">
        <w:rPr>
          <w:rFonts w:eastAsia="Calibri" w:cstheme="minorHAnsi"/>
          <w:b/>
          <w:szCs w:val="24"/>
        </w:rPr>
        <w:t xml:space="preserve"> Electric vehicle charging stations (EVCS) </w:t>
      </w:r>
      <w:r w:rsidRPr="00924CE7">
        <w:rPr>
          <w:rFonts w:eastAsia="Calibri" w:cstheme="minorHAnsi"/>
          <w:b/>
          <w:szCs w:val="24"/>
          <w:u w:val="single"/>
        </w:rPr>
        <w:t xml:space="preserve">spaces </w:t>
      </w:r>
      <w:r w:rsidRPr="00924CE7">
        <w:rPr>
          <w:rFonts w:eastAsia="Calibri" w:cstheme="minorHAnsi"/>
          <w:b/>
          <w:bCs/>
          <w:szCs w:val="24"/>
          <w:u w:val="single"/>
        </w:rPr>
        <w:t>with EV chargers installed</w:t>
      </w:r>
      <w:r w:rsidRPr="00924CE7">
        <w:rPr>
          <w:rFonts w:eastAsia="Calibri" w:cstheme="minorHAnsi"/>
          <w:b/>
          <w:bCs/>
          <w:szCs w:val="24"/>
        </w:rPr>
        <w:t xml:space="preserve">; </w:t>
      </w:r>
      <w:r w:rsidRPr="00924CE7">
        <w:rPr>
          <w:rFonts w:eastAsia="Calibri" w:cstheme="minorHAnsi"/>
          <w:b/>
          <w:szCs w:val="24"/>
        </w:rPr>
        <w:t xml:space="preserve">dimensions </w:t>
      </w:r>
      <w:r w:rsidRPr="00924CE7">
        <w:rPr>
          <w:rFonts w:eastAsia="Calibri" w:cstheme="minorHAnsi"/>
          <w:b/>
          <w:szCs w:val="24"/>
          <w:u w:val="single"/>
        </w:rPr>
        <w:t>and location</w:t>
      </w:r>
      <w:r w:rsidRPr="00924CE7">
        <w:rPr>
          <w:rFonts w:eastAsia="Calibri" w:cstheme="minorHAnsi"/>
          <w:b/>
          <w:szCs w:val="24"/>
        </w:rPr>
        <w:t xml:space="preserve">. </w:t>
      </w:r>
      <w:r w:rsidRPr="00924CE7">
        <w:rPr>
          <w:rFonts w:eastAsia="Calibri" w:cstheme="minorHAnsi"/>
          <w:strike/>
          <w:szCs w:val="24"/>
        </w:rPr>
        <w:t>The</w:t>
      </w:r>
      <w:r w:rsidRPr="00924CE7">
        <w:rPr>
          <w:rFonts w:eastAsia="Calibri" w:cstheme="minorHAnsi"/>
          <w:szCs w:val="24"/>
        </w:rPr>
        <w:t xml:space="preserve"> </w:t>
      </w:r>
      <w:r w:rsidRPr="00924CE7">
        <w:rPr>
          <w:rFonts w:eastAsia="Calibri" w:cstheme="minorHAnsi"/>
          <w:strike/>
          <w:szCs w:val="24"/>
        </w:rPr>
        <w:t>charging</w:t>
      </w:r>
      <w:r w:rsidRPr="00924CE7">
        <w:rPr>
          <w:rFonts w:eastAsia="Calibri" w:cstheme="minorHAnsi"/>
          <w:szCs w:val="24"/>
        </w:rPr>
        <w:t xml:space="preserve"> </w:t>
      </w:r>
      <w:r w:rsidRPr="00924CE7">
        <w:rPr>
          <w:rFonts w:eastAsia="Calibri" w:cstheme="minorHAnsi"/>
          <w:szCs w:val="24"/>
          <w:u w:val="single"/>
        </w:rPr>
        <w:t>EVCS</w:t>
      </w:r>
      <w:r w:rsidRPr="00924CE7">
        <w:rPr>
          <w:rFonts w:eastAsia="Calibri" w:cstheme="minorHAnsi"/>
          <w:szCs w:val="24"/>
        </w:rPr>
        <w:t xml:space="preserve"> spaces shall be designed to comply with the following:</w:t>
      </w:r>
    </w:p>
    <w:p w14:paraId="545A6877" w14:textId="77777777" w:rsidR="007421A9" w:rsidRPr="00924CE7" w:rsidRDefault="007421A9" w:rsidP="007B6969">
      <w:pPr>
        <w:pStyle w:val="ListParagraph"/>
        <w:widowControl w:val="0"/>
        <w:numPr>
          <w:ilvl w:val="0"/>
          <w:numId w:val="17"/>
        </w:numPr>
        <w:spacing w:before="100" w:beforeAutospacing="1"/>
        <w:ind w:left="1080"/>
        <w:rPr>
          <w:rFonts w:eastAsia="Calibri" w:cstheme="minorHAnsi"/>
          <w:sz w:val="24"/>
          <w:szCs w:val="24"/>
        </w:rPr>
      </w:pPr>
      <w:r w:rsidRPr="00924CE7">
        <w:rPr>
          <w:rFonts w:eastAsia="Calibri" w:cstheme="minorHAnsi"/>
          <w:sz w:val="24"/>
          <w:szCs w:val="24"/>
        </w:rPr>
        <w:t>The minimum length of each EV</w:t>
      </w:r>
      <w:r w:rsidRPr="00924CE7">
        <w:rPr>
          <w:rStyle w:val="CommentReference"/>
          <w:rFonts w:cstheme="minorHAnsi"/>
          <w:sz w:val="24"/>
          <w:szCs w:val="24"/>
          <w:u w:val="single"/>
        </w:rPr>
        <w:t>CS</w:t>
      </w:r>
      <w:r w:rsidRPr="00924CE7">
        <w:rPr>
          <w:rStyle w:val="CommentReference"/>
          <w:rFonts w:cstheme="minorHAnsi"/>
          <w:sz w:val="24"/>
          <w:szCs w:val="24"/>
        </w:rPr>
        <w:t xml:space="preserve"> </w:t>
      </w:r>
      <w:r w:rsidRPr="00924CE7">
        <w:rPr>
          <w:rFonts w:eastAsia="Calibri" w:cstheme="minorHAnsi"/>
          <w:sz w:val="24"/>
          <w:szCs w:val="24"/>
        </w:rPr>
        <w:t>space shall be 18 feet (5486 mm).</w:t>
      </w:r>
    </w:p>
    <w:p w14:paraId="2B669052" w14:textId="77777777" w:rsidR="007421A9" w:rsidRPr="00924CE7" w:rsidRDefault="007421A9" w:rsidP="007B6969">
      <w:pPr>
        <w:pStyle w:val="ListParagraph"/>
        <w:widowControl w:val="0"/>
        <w:numPr>
          <w:ilvl w:val="0"/>
          <w:numId w:val="17"/>
        </w:numPr>
        <w:spacing w:before="100" w:beforeAutospacing="1"/>
        <w:ind w:left="1080"/>
        <w:rPr>
          <w:rFonts w:eastAsia="Calibri" w:cstheme="minorHAnsi"/>
          <w:sz w:val="24"/>
          <w:szCs w:val="24"/>
        </w:rPr>
      </w:pPr>
      <w:r w:rsidRPr="00924CE7">
        <w:rPr>
          <w:rFonts w:eastAsia="Calibri" w:cstheme="minorHAnsi"/>
          <w:sz w:val="24"/>
          <w:szCs w:val="24"/>
        </w:rPr>
        <w:t>The minimum width of each EV</w:t>
      </w:r>
      <w:r w:rsidRPr="00924CE7">
        <w:rPr>
          <w:rStyle w:val="CommentReference"/>
          <w:rFonts w:cstheme="minorHAnsi"/>
          <w:sz w:val="24"/>
          <w:szCs w:val="24"/>
          <w:u w:val="single"/>
        </w:rPr>
        <w:t>CS</w:t>
      </w:r>
      <w:r w:rsidRPr="00924CE7">
        <w:rPr>
          <w:rFonts w:eastAsia="Calibri" w:cstheme="minorHAnsi"/>
          <w:sz w:val="24"/>
          <w:szCs w:val="24"/>
        </w:rPr>
        <w:t xml:space="preserve"> space shall be 9 feet (2743 mm).</w:t>
      </w:r>
    </w:p>
    <w:p w14:paraId="6A4FB928" w14:textId="5F9FEBBA" w:rsidR="007421A9" w:rsidRPr="007B6969" w:rsidRDefault="007421A9" w:rsidP="00DC6928">
      <w:pPr>
        <w:pStyle w:val="ListParagraph"/>
        <w:widowControl w:val="0"/>
        <w:numPr>
          <w:ilvl w:val="0"/>
          <w:numId w:val="17"/>
        </w:numPr>
        <w:spacing w:before="100" w:beforeAutospacing="1"/>
        <w:ind w:left="1080"/>
        <w:contextualSpacing/>
        <w:rPr>
          <w:rFonts w:eastAsia="Calibri" w:cstheme="minorHAnsi"/>
          <w:sz w:val="24"/>
          <w:szCs w:val="24"/>
          <w:u w:val="single"/>
        </w:rPr>
      </w:pPr>
      <w:r w:rsidRPr="007B6969">
        <w:rPr>
          <w:rFonts w:eastAsia="Calibri" w:cstheme="minorHAnsi"/>
          <w:sz w:val="24"/>
          <w:szCs w:val="24"/>
        </w:rPr>
        <w:t xml:space="preserve">One in every 25 </w:t>
      </w:r>
      <w:r w:rsidRPr="007B6969">
        <w:rPr>
          <w:rFonts w:eastAsia="Calibri" w:cstheme="minorHAnsi"/>
          <w:strike/>
          <w:sz w:val="24"/>
          <w:szCs w:val="24"/>
        </w:rPr>
        <w:t>charging</w:t>
      </w:r>
      <w:r w:rsidRPr="007B6969">
        <w:rPr>
          <w:rFonts w:eastAsia="Calibri" w:cstheme="minorHAnsi"/>
          <w:sz w:val="24"/>
          <w:szCs w:val="24"/>
        </w:rPr>
        <w:t xml:space="preserve"> EV</w:t>
      </w:r>
      <w:r w:rsidRPr="007B6969">
        <w:rPr>
          <w:rFonts w:eastAsia="Calibri" w:cstheme="minorHAnsi"/>
          <w:sz w:val="24"/>
          <w:szCs w:val="24"/>
          <w:u w:val="single"/>
        </w:rPr>
        <w:t xml:space="preserve">CS </w:t>
      </w:r>
      <w:r w:rsidRPr="007B6969">
        <w:rPr>
          <w:rFonts w:eastAsia="Calibri" w:cstheme="minorHAnsi"/>
          <w:sz w:val="24"/>
          <w:szCs w:val="24"/>
        </w:rPr>
        <w:t>spaces, but not less than one, shall also have an 8-foot (2438 mm) wide aisle. A 5-foot (1524 mm) wide minimum aisle shall be</w:t>
      </w:r>
      <w:r w:rsidR="007B6969" w:rsidRPr="007B6969">
        <w:rPr>
          <w:rFonts w:eastAsia="Calibri" w:cstheme="minorHAnsi"/>
          <w:sz w:val="24"/>
          <w:szCs w:val="24"/>
        </w:rPr>
        <w:t xml:space="preserve"> </w:t>
      </w:r>
      <w:r w:rsidRPr="007B6969">
        <w:rPr>
          <w:rFonts w:eastAsia="Calibri" w:cstheme="minorHAnsi"/>
          <w:sz w:val="24"/>
          <w:szCs w:val="24"/>
        </w:rPr>
        <w:t>permitted provided the minimum width of the EV</w:t>
      </w:r>
      <w:r w:rsidRPr="007B6969">
        <w:rPr>
          <w:rFonts w:eastAsia="Calibri" w:cstheme="minorHAnsi"/>
          <w:sz w:val="24"/>
          <w:szCs w:val="24"/>
          <w:u w:val="single"/>
        </w:rPr>
        <w:t>CS</w:t>
      </w:r>
      <w:r w:rsidRPr="007B6969">
        <w:rPr>
          <w:rFonts w:eastAsia="Calibri" w:cstheme="minorHAnsi"/>
          <w:sz w:val="24"/>
          <w:szCs w:val="24"/>
        </w:rPr>
        <w:t xml:space="preserve"> space is 12 feet (3658 mm). </w:t>
      </w:r>
      <w:r w:rsidRPr="007B6969">
        <w:rPr>
          <w:rFonts w:eastAsia="Calibri" w:cstheme="minorHAnsi"/>
          <w:strike/>
          <w:sz w:val="24"/>
          <w:szCs w:val="24"/>
        </w:rPr>
        <w:t>a.</w:t>
      </w:r>
      <w:r w:rsidRPr="007B6969">
        <w:rPr>
          <w:rFonts w:eastAsia="Calibri" w:cstheme="minorHAnsi"/>
          <w:sz w:val="24"/>
          <w:szCs w:val="24"/>
        </w:rPr>
        <w:t xml:space="preserve"> Surface slope for this EV</w:t>
      </w:r>
      <w:r w:rsidRPr="007B6969">
        <w:rPr>
          <w:rFonts w:eastAsia="Calibri" w:cstheme="minorHAnsi"/>
          <w:sz w:val="24"/>
          <w:szCs w:val="24"/>
          <w:u w:val="single"/>
        </w:rPr>
        <w:t>CS</w:t>
      </w:r>
      <w:r w:rsidRPr="007B6969">
        <w:rPr>
          <w:rFonts w:eastAsia="Calibri" w:cstheme="minorHAnsi"/>
          <w:sz w:val="24"/>
          <w:szCs w:val="24"/>
        </w:rPr>
        <w:t xml:space="preserve"> space and the aisle shall not exceed 1 unit vertical in 48 units horizontal (2.083 percent slope) in any direction. </w:t>
      </w:r>
      <w:r w:rsidRPr="007B6969">
        <w:rPr>
          <w:rFonts w:eastAsia="Calibri" w:cstheme="minorHAnsi"/>
          <w:sz w:val="24"/>
          <w:szCs w:val="24"/>
          <w:u w:val="single"/>
        </w:rPr>
        <w:t>These EVCS spaces shall also comply with at least one of the following:</w:t>
      </w:r>
    </w:p>
    <w:p w14:paraId="0F7F334A" w14:textId="77777777" w:rsidR="007421A9" w:rsidRPr="00924CE7" w:rsidRDefault="007421A9" w:rsidP="007B6969">
      <w:pPr>
        <w:pStyle w:val="ListParagraph"/>
        <w:widowControl w:val="0"/>
        <w:numPr>
          <w:ilvl w:val="1"/>
          <w:numId w:val="17"/>
        </w:numPr>
        <w:spacing w:before="100" w:beforeAutospacing="1"/>
        <w:ind w:left="2160"/>
        <w:rPr>
          <w:rFonts w:eastAsia="Calibri" w:cstheme="minorHAnsi"/>
          <w:sz w:val="24"/>
          <w:szCs w:val="24"/>
          <w:u w:val="single"/>
        </w:rPr>
      </w:pPr>
      <w:r w:rsidRPr="00924CE7">
        <w:rPr>
          <w:rFonts w:eastAsia="Calibri" w:cstheme="minorHAnsi"/>
          <w:sz w:val="24"/>
          <w:szCs w:val="24"/>
          <w:u w:val="single"/>
        </w:rPr>
        <w:t xml:space="preserve">The EVCS space shall be located adjacent to an accessible parking space meeting the requirements of the </w:t>
      </w:r>
      <w:r w:rsidRPr="00924CE7">
        <w:rPr>
          <w:rFonts w:eastAsia="Calibri" w:cstheme="minorHAnsi"/>
          <w:i/>
          <w:iCs/>
          <w:sz w:val="24"/>
          <w:szCs w:val="24"/>
          <w:u w:val="single"/>
        </w:rPr>
        <w:t>California Building Code</w:t>
      </w:r>
      <w:r w:rsidRPr="00924CE7">
        <w:rPr>
          <w:rFonts w:eastAsia="Calibri" w:cstheme="minorHAnsi"/>
          <w:sz w:val="24"/>
          <w:szCs w:val="24"/>
          <w:u w:val="single"/>
        </w:rPr>
        <w:t>, Chapter 11A, to allow use of the EV charger from the accessible parking space.</w:t>
      </w:r>
    </w:p>
    <w:p w14:paraId="1DDF45BF" w14:textId="77777777" w:rsidR="007421A9" w:rsidRPr="00924CE7" w:rsidRDefault="007421A9" w:rsidP="007B6969">
      <w:pPr>
        <w:pStyle w:val="ListParagraph"/>
        <w:widowControl w:val="0"/>
        <w:numPr>
          <w:ilvl w:val="1"/>
          <w:numId w:val="17"/>
        </w:numPr>
        <w:spacing w:before="100" w:beforeAutospacing="1"/>
        <w:ind w:left="2160"/>
        <w:rPr>
          <w:rFonts w:eastAsia="Calibri" w:cstheme="minorHAnsi"/>
          <w:sz w:val="24"/>
          <w:szCs w:val="24"/>
          <w:u w:val="single"/>
        </w:rPr>
      </w:pPr>
      <w:r w:rsidRPr="00924CE7">
        <w:rPr>
          <w:rFonts w:eastAsia="Calibri" w:cstheme="minorHAnsi"/>
          <w:sz w:val="24"/>
          <w:szCs w:val="24"/>
          <w:u w:val="single"/>
        </w:rPr>
        <w:t xml:space="preserve">The EVCS space shall be located on an accessible route, as defined in the </w:t>
      </w:r>
      <w:r w:rsidRPr="00924CE7">
        <w:rPr>
          <w:rFonts w:eastAsia="Calibri" w:cstheme="minorHAnsi"/>
          <w:i/>
          <w:iCs/>
          <w:sz w:val="24"/>
          <w:szCs w:val="24"/>
          <w:u w:val="single"/>
        </w:rPr>
        <w:t>California Building Code</w:t>
      </w:r>
      <w:r w:rsidRPr="00924CE7">
        <w:rPr>
          <w:rFonts w:eastAsia="Calibri" w:cstheme="minorHAnsi"/>
          <w:sz w:val="24"/>
          <w:szCs w:val="24"/>
          <w:u w:val="single"/>
        </w:rPr>
        <w:t>, Chapter 2, to the building.</w:t>
      </w:r>
    </w:p>
    <w:p w14:paraId="19837C24" w14:textId="77777777" w:rsidR="007421A9" w:rsidRPr="00924CE7" w:rsidRDefault="007421A9" w:rsidP="007421A9">
      <w:pPr>
        <w:autoSpaceDE w:val="0"/>
        <w:autoSpaceDN w:val="0"/>
        <w:adjustRightInd w:val="0"/>
        <w:ind w:left="1800"/>
        <w:rPr>
          <w:rFonts w:eastAsia="Calibri" w:cstheme="minorHAnsi"/>
          <w:szCs w:val="24"/>
          <w:u w:val="single"/>
        </w:rPr>
      </w:pPr>
      <w:r w:rsidRPr="00924CE7">
        <w:rPr>
          <w:rFonts w:cstheme="minorHAnsi"/>
          <w:b/>
          <w:bCs/>
          <w:szCs w:val="24"/>
          <w:u w:val="single"/>
          <w:shd w:val="clear" w:color="auto" w:fill="FFFFFF"/>
        </w:rPr>
        <w:t>Exception:</w:t>
      </w:r>
      <w:r w:rsidRPr="00924CE7">
        <w:rPr>
          <w:rFonts w:cstheme="minorHAnsi"/>
          <w:szCs w:val="24"/>
          <w:u w:val="single"/>
        </w:rPr>
        <w:t xml:space="preserve"> </w:t>
      </w:r>
      <w:r w:rsidRPr="00924CE7">
        <w:rPr>
          <w:rFonts w:eastAsia="Calibri" w:cstheme="minorHAnsi"/>
          <w:szCs w:val="24"/>
          <w:u w:val="single"/>
        </w:rPr>
        <w:t xml:space="preserve">Electric vehicle charging stations designed and constructed in compliance with the </w:t>
      </w:r>
      <w:r w:rsidRPr="00924CE7">
        <w:rPr>
          <w:rFonts w:eastAsia="Calibri" w:cstheme="minorHAnsi"/>
          <w:i/>
          <w:iCs/>
          <w:szCs w:val="24"/>
          <w:u w:val="single"/>
        </w:rPr>
        <w:t>California Building Code</w:t>
      </w:r>
      <w:r w:rsidRPr="00924CE7">
        <w:rPr>
          <w:rFonts w:eastAsia="Calibri" w:cstheme="minorHAnsi"/>
          <w:szCs w:val="24"/>
          <w:u w:val="single"/>
        </w:rPr>
        <w:t>, Chapter 11B, are not required to comply with Section 4.106.4.2.2.1.1.</w:t>
      </w:r>
    </w:p>
    <w:p w14:paraId="643E3D0E" w14:textId="77777777" w:rsidR="007421A9" w:rsidRPr="00924CE7" w:rsidRDefault="007421A9" w:rsidP="007421A9">
      <w:pPr>
        <w:autoSpaceDE w:val="0"/>
        <w:autoSpaceDN w:val="0"/>
        <w:adjustRightInd w:val="0"/>
        <w:ind w:left="1800"/>
        <w:rPr>
          <w:rFonts w:cstheme="minorHAnsi"/>
          <w:b/>
          <w:bCs/>
          <w:strike/>
          <w:szCs w:val="24"/>
          <w:shd w:val="clear" w:color="auto" w:fill="FFFFFF"/>
        </w:rPr>
      </w:pPr>
    </w:p>
    <w:p w14:paraId="42B922F8" w14:textId="77777777" w:rsidR="007421A9" w:rsidRPr="00924CE7" w:rsidRDefault="007421A9" w:rsidP="007421A9">
      <w:pPr>
        <w:textAlignment w:val="baseline"/>
        <w:rPr>
          <w:rFonts w:cstheme="minorHAnsi"/>
          <w:szCs w:val="24"/>
        </w:rPr>
      </w:pPr>
      <w:r w:rsidRPr="00924CE7">
        <w:rPr>
          <w:rFonts w:cstheme="minorHAnsi"/>
          <w:b/>
          <w:bCs/>
          <w:szCs w:val="24"/>
        </w:rPr>
        <w:t>Section 4.106.4.2.2.1.3</w:t>
      </w:r>
      <w:r w:rsidRPr="00924CE7">
        <w:rPr>
          <w:rFonts w:eastAsia="Calibri" w:cstheme="minorHAnsi"/>
          <w:b/>
          <w:bCs/>
          <w:szCs w:val="24"/>
        </w:rPr>
        <w:t xml:space="preserve"> </w:t>
      </w:r>
      <w:r w:rsidRPr="00924CE7">
        <w:rPr>
          <w:rFonts w:eastAsia="Calibri" w:cstheme="minorHAnsi"/>
          <w:b/>
          <w:bCs/>
          <w:color w:val="000000"/>
          <w:szCs w:val="24"/>
          <w:shd w:val="clear" w:color="auto" w:fill="FFFFFF"/>
        </w:rPr>
        <w:t>Accessible EV spaces</w:t>
      </w:r>
      <w:r w:rsidRPr="00924CE7">
        <w:rPr>
          <w:rFonts w:eastAsia="Calibri" w:cstheme="minorHAnsi"/>
          <w:szCs w:val="24"/>
        </w:rPr>
        <w:t xml:space="preserve"> is renumbered as Section 4.106.4.2.2.1.2 </w:t>
      </w:r>
      <w:r w:rsidRPr="00924CE7">
        <w:rPr>
          <w:rFonts w:cstheme="minorHAnsi"/>
          <w:szCs w:val="24"/>
        </w:rPr>
        <w:t>and amended to read as follows:</w:t>
      </w:r>
    </w:p>
    <w:p w14:paraId="537F589D" w14:textId="77777777" w:rsidR="007421A9" w:rsidRPr="00924CE7" w:rsidRDefault="007421A9" w:rsidP="007421A9">
      <w:pPr>
        <w:textAlignment w:val="baseline"/>
        <w:rPr>
          <w:rFonts w:cstheme="minorHAnsi"/>
          <w:szCs w:val="24"/>
        </w:rPr>
      </w:pPr>
    </w:p>
    <w:p w14:paraId="577754AD" w14:textId="77777777" w:rsidR="007421A9" w:rsidRPr="00924CE7" w:rsidRDefault="007421A9" w:rsidP="007421A9">
      <w:pPr>
        <w:autoSpaceDE w:val="0"/>
        <w:autoSpaceDN w:val="0"/>
        <w:adjustRightInd w:val="0"/>
        <w:ind w:left="720"/>
        <w:rPr>
          <w:rFonts w:eastAsia="Calibri" w:cstheme="minorHAnsi"/>
          <w:szCs w:val="24"/>
        </w:rPr>
      </w:pPr>
      <w:r w:rsidRPr="00924CE7">
        <w:rPr>
          <w:rFonts w:cstheme="minorHAnsi"/>
          <w:b/>
          <w:bCs/>
          <w:szCs w:val="24"/>
        </w:rPr>
        <w:t>4.106.4.2.2.1.</w:t>
      </w:r>
      <w:r w:rsidRPr="00924CE7">
        <w:rPr>
          <w:rFonts w:cstheme="minorHAnsi"/>
          <w:b/>
          <w:bCs/>
          <w:strike/>
          <w:szCs w:val="24"/>
        </w:rPr>
        <w:t>3</w:t>
      </w:r>
      <w:r w:rsidRPr="00924CE7">
        <w:rPr>
          <w:rFonts w:cstheme="minorHAnsi"/>
          <w:b/>
          <w:bCs/>
          <w:szCs w:val="24"/>
          <w:u w:val="single"/>
        </w:rPr>
        <w:t>2</w:t>
      </w:r>
      <w:r w:rsidRPr="00924CE7">
        <w:rPr>
          <w:rFonts w:cstheme="minorHAnsi"/>
          <w:b/>
          <w:bCs/>
          <w:szCs w:val="24"/>
        </w:rPr>
        <w:t xml:space="preserve"> </w:t>
      </w:r>
      <w:r w:rsidRPr="00924CE7">
        <w:rPr>
          <w:rFonts w:eastAsia="Calibri" w:cstheme="minorHAnsi"/>
          <w:b/>
          <w:bCs/>
          <w:szCs w:val="24"/>
        </w:rPr>
        <w:t xml:space="preserve">Accessible </w:t>
      </w:r>
      <w:r w:rsidRPr="00924CE7">
        <w:rPr>
          <w:rFonts w:eastAsia="Calibri" w:cstheme="minorHAnsi"/>
          <w:b/>
          <w:bCs/>
          <w:strike/>
          <w:szCs w:val="24"/>
        </w:rPr>
        <w:t>EV</w:t>
      </w:r>
      <w:r w:rsidRPr="00924CE7">
        <w:rPr>
          <w:rFonts w:eastAsia="Calibri" w:cstheme="minorHAnsi"/>
          <w:b/>
          <w:bCs/>
          <w:szCs w:val="24"/>
        </w:rPr>
        <w:t xml:space="preserve"> </w:t>
      </w:r>
      <w:r w:rsidRPr="00924CE7">
        <w:rPr>
          <w:rFonts w:eastAsia="Calibri" w:cstheme="minorHAnsi"/>
          <w:b/>
          <w:bCs/>
          <w:szCs w:val="24"/>
          <w:u w:val="single"/>
        </w:rPr>
        <w:t>electric vehicle charging station</w:t>
      </w:r>
      <w:r w:rsidRPr="00924CE7">
        <w:rPr>
          <w:rFonts w:eastAsia="Calibri" w:cstheme="minorHAnsi"/>
          <w:b/>
          <w:bCs/>
          <w:szCs w:val="24"/>
        </w:rPr>
        <w:t xml:space="preserve"> spaces. </w:t>
      </w:r>
      <w:r w:rsidRPr="00924CE7">
        <w:rPr>
          <w:rFonts w:eastAsia="Calibri" w:cstheme="minorHAnsi"/>
          <w:szCs w:val="24"/>
        </w:rPr>
        <w:t>In addition to the requirements in Section</w:t>
      </w:r>
      <w:r w:rsidRPr="00924CE7">
        <w:rPr>
          <w:rFonts w:eastAsia="Calibri" w:cstheme="minorHAnsi"/>
          <w:strike/>
          <w:szCs w:val="24"/>
        </w:rPr>
        <w:t xml:space="preserve">s </w:t>
      </w:r>
      <w:r w:rsidRPr="00924CE7">
        <w:rPr>
          <w:rFonts w:eastAsia="Calibri" w:cstheme="minorHAnsi"/>
          <w:szCs w:val="24"/>
        </w:rPr>
        <w:t xml:space="preserve">4.106.4.2.2.1.1 </w:t>
      </w:r>
      <w:r w:rsidRPr="00924CE7">
        <w:rPr>
          <w:rFonts w:eastAsia="Calibri" w:cstheme="minorHAnsi"/>
          <w:strike/>
          <w:szCs w:val="24"/>
        </w:rPr>
        <w:t>and 4.106.4.2.2.1.2</w:t>
      </w:r>
      <w:r w:rsidRPr="00924CE7">
        <w:rPr>
          <w:rFonts w:eastAsia="Calibri" w:cstheme="minorHAnsi"/>
          <w:szCs w:val="24"/>
        </w:rPr>
        <w:t xml:space="preserve">, all </w:t>
      </w:r>
      <w:r w:rsidRPr="00924CE7">
        <w:rPr>
          <w:rFonts w:eastAsia="Calibri" w:cstheme="minorHAnsi"/>
          <w:strike/>
          <w:szCs w:val="24"/>
        </w:rPr>
        <w:t>EVSE</w:t>
      </w:r>
      <w:r w:rsidRPr="00924CE7">
        <w:rPr>
          <w:rFonts w:eastAsia="Calibri" w:cstheme="minorHAnsi"/>
          <w:szCs w:val="24"/>
        </w:rPr>
        <w:t xml:space="preserve"> </w:t>
      </w:r>
      <w:r w:rsidRPr="00924CE7">
        <w:rPr>
          <w:rFonts w:eastAsia="Calibri" w:cstheme="minorHAnsi"/>
          <w:szCs w:val="24"/>
          <w:u w:val="single"/>
        </w:rPr>
        <w:t>EV chargers</w:t>
      </w:r>
      <w:r w:rsidRPr="00924CE7">
        <w:rPr>
          <w:rFonts w:eastAsia="Calibri" w:cstheme="minorHAnsi"/>
          <w:szCs w:val="24"/>
        </w:rPr>
        <w:t xml:space="preserve">, </w:t>
      </w:r>
      <w:r w:rsidRPr="00924CE7">
        <w:rPr>
          <w:rFonts w:eastAsia="Calibri" w:cstheme="minorHAnsi"/>
          <w:strike/>
          <w:szCs w:val="24"/>
        </w:rPr>
        <w:t>when</w:t>
      </w:r>
      <w:r w:rsidRPr="00924CE7">
        <w:rPr>
          <w:rFonts w:eastAsia="Calibri" w:cstheme="minorHAnsi"/>
          <w:szCs w:val="24"/>
          <w:u w:val="single"/>
        </w:rPr>
        <w:t xml:space="preserve">where </w:t>
      </w:r>
      <w:r w:rsidRPr="00924CE7">
        <w:rPr>
          <w:rFonts w:eastAsia="Calibri" w:cstheme="minorHAnsi"/>
          <w:szCs w:val="24"/>
        </w:rPr>
        <w:t xml:space="preserve">installed, shall comply with the accessibility provisions for EV chargers in the </w:t>
      </w:r>
      <w:r w:rsidRPr="00924CE7">
        <w:rPr>
          <w:rFonts w:eastAsia="Calibri" w:cstheme="minorHAnsi"/>
          <w:i/>
          <w:iCs/>
          <w:szCs w:val="24"/>
        </w:rPr>
        <w:t>California Building Code</w:t>
      </w:r>
      <w:r w:rsidRPr="00924CE7">
        <w:rPr>
          <w:rFonts w:eastAsia="Calibri" w:cstheme="minorHAnsi"/>
          <w:szCs w:val="24"/>
        </w:rPr>
        <w:t xml:space="preserve">, Chapter 11B. EV ready spaces and EVCS in multifamily developments shall comply with </w:t>
      </w:r>
      <w:r w:rsidRPr="00924CE7">
        <w:rPr>
          <w:rFonts w:eastAsia="Calibri" w:cstheme="minorHAnsi"/>
          <w:i/>
          <w:iCs/>
          <w:szCs w:val="24"/>
        </w:rPr>
        <w:t>California Building Code</w:t>
      </w:r>
      <w:r w:rsidRPr="00924CE7">
        <w:rPr>
          <w:rFonts w:eastAsia="Calibri" w:cstheme="minorHAnsi"/>
          <w:szCs w:val="24"/>
        </w:rPr>
        <w:t>, Chapter 11A, Section 1109A.</w:t>
      </w:r>
    </w:p>
    <w:p w14:paraId="17F8624B" w14:textId="77777777" w:rsidR="007421A9" w:rsidRPr="001B2993" w:rsidRDefault="007421A9" w:rsidP="007421A9">
      <w:pPr>
        <w:autoSpaceDE w:val="0"/>
        <w:autoSpaceDN w:val="0"/>
        <w:adjustRightInd w:val="0"/>
        <w:ind w:left="720"/>
        <w:rPr>
          <w:rFonts w:eastAsia="Calibri"/>
          <w:szCs w:val="24"/>
        </w:rPr>
      </w:pPr>
    </w:p>
    <w:p w14:paraId="2EDF8AE0" w14:textId="77777777" w:rsidR="007421A9" w:rsidRPr="001B2993" w:rsidRDefault="007421A9" w:rsidP="007421A9">
      <w:pPr>
        <w:rPr>
          <w:szCs w:val="24"/>
        </w:rPr>
      </w:pPr>
      <w:r w:rsidRPr="001B2993">
        <w:rPr>
          <w:b/>
          <w:bCs/>
          <w:szCs w:val="24"/>
        </w:rPr>
        <w:t>Section 4.106.4.2.3 EV space requirements</w:t>
      </w:r>
      <w:r w:rsidRPr="001B2993">
        <w:rPr>
          <w:szCs w:val="24"/>
        </w:rPr>
        <w:t xml:space="preserve"> is </w:t>
      </w:r>
      <w:r>
        <w:rPr>
          <w:szCs w:val="24"/>
        </w:rPr>
        <w:t>deleted</w:t>
      </w:r>
      <w:r w:rsidRPr="001B2993">
        <w:rPr>
          <w:szCs w:val="24"/>
        </w:rPr>
        <w:t xml:space="preserve"> in its entirety and Marked as “Reserved”.</w:t>
      </w:r>
    </w:p>
    <w:p w14:paraId="50DF6C9F" w14:textId="77777777" w:rsidR="007421A9" w:rsidRPr="001B2993" w:rsidRDefault="007421A9" w:rsidP="007421A9">
      <w:pPr>
        <w:rPr>
          <w:szCs w:val="24"/>
        </w:rPr>
      </w:pPr>
    </w:p>
    <w:p w14:paraId="2656E0E9" w14:textId="77777777" w:rsidR="007421A9" w:rsidRPr="001B2993" w:rsidRDefault="007421A9" w:rsidP="007421A9">
      <w:pPr>
        <w:rPr>
          <w:szCs w:val="24"/>
        </w:rPr>
      </w:pPr>
      <w:r w:rsidRPr="001B2993">
        <w:rPr>
          <w:b/>
          <w:bCs/>
          <w:szCs w:val="24"/>
        </w:rPr>
        <w:t xml:space="preserve">Section 4.106.4.2.4 </w:t>
      </w:r>
      <w:r w:rsidRPr="001B2993">
        <w:rPr>
          <w:rFonts w:eastAsia="Calibri"/>
          <w:b/>
          <w:bCs/>
          <w:color w:val="000000"/>
          <w:szCs w:val="24"/>
          <w:shd w:val="clear" w:color="auto" w:fill="FFFFFF"/>
        </w:rPr>
        <w:t>Identification</w:t>
      </w:r>
      <w:r w:rsidRPr="001B2993">
        <w:rPr>
          <w:szCs w:val="24"/>
        </w:rPr>
        <w:t xml:space="preserve"> is </w:t>
      </w:r>
      <w:r>
        <w:rPr>
          <w:szCs w:val="24"/>
        </w:rPr>
        <w:t>deleted</w:t>
      </w:r>
      <w:r w:rsidRPr="001B2993">
        <w:rPr>
          <w:szCs w:val="24"/>
        </w:rPr>
        <w:t xml:space="preserve"> in its entirety and Marked as “Reserved”.</w:t>
      </w:r>
    </w:p>
    <w:p w14:paraId="6DFF199E" w14:textId="77777777" w:rsidR="007421A9" w:rsidRPr="001B2993" w:rsidRDefault="007421A9" w:rsidP="007421A9">
      <w:pPr>
        <w:rPr>
          <w:szCs w:val="24"/>
        </w:rPr>
      </w:pPr>
    </w:p>
    <w:p w14:paraId="6E86AD78" w14:textId="77777777" w:rsidR="007421A9" w:rsidRPr="001B2993" w:rsidRDefault="007421A9" w:rsidP="007421A9">
      <w:pPr>
        <w:textAlignment w:val="baseline"/>
        <w:rPr>
          <w:szCs w:val="24"/>
        </w:rPr>
      </w:pPr>
      <w:r w:rsidRPr="001B2993">
        <w:rPr>
          <w:b/>
          <w:bCs/>
          <w:szCs w:val="24"/>
        </w:rPr>
        <w:t>Section 4.106.4.3</w:t>
      </w:r>
      <w:r w:rsidRPr="001B2993">
        <w:rPr>
          <w:rFonts w:eastAsia="Calibri"/>
          <w:b/>
          <w:bCs/>
          <w:color w:val="000000"/>
          <w:szCs w:val="24"/>
          <w:shd w:val="clear" w:color="auto" w:fill="FFFFFF"/>
        </w:rPr>
        <w:t xml:space="preserve"> </w:t>
      </w:r>
      <w:r w:rsidRPr="001B2993">
        <w:rPr>
          <w:rFonts w:eastAsia="Calibri"/>
          <w:b/>
          <w:bCs/>
          <w:szCs w:val="24"/>
        </w:rPr>
        <w:t>Electric vehicle charging for additions and alterations of parking facilities serving existing multifamily buildings</w:t>
      </w:r>
      <w:r w:rsidRPr="001B2993">
        <w:rPr>
          <w:szCs w:val="24"/>
        </w:rPr>
        <w:t xml:space="preserve"> is amended to read as follows:</w:t>
      </w:r>
    </w:p>
    <w:p w14:paraId="3FB9C42A" w14:textId="77777777" w:rsidR="007421A9" w:rsidRPr="001B2993" w:rsidRDefault="007421A9" w:rsidP="007421A9">
      <w:pPr>
        <w:autoSpaceDE w:val="0"/>
        <w:autoSpaceDN w:val="0"/>
        <w:adjustRightInd w:val="0"/>
        <w:ind w:left="360"/>
        <w:rPr>
          <w:rFonts w:eastAsia="Calibri"/>
          <w:szCs w:val="24"/>
          <w:u w:val="single"/>
        </w:rPr>
      </w:pPr>
      <w:r w:rsidRPr="001B2993">
        <w:rPr>
          <w:rFonts w:eastAsia="Calibri"/>
          <w:b/>
          <w:bCs/>
          <w:szCs w:val="24"/>
        </w:rPr>
        <w:t xml:space="preserve">4.106.4.3 Electric vehicle charging for additions and </w:t>
      </w:r>
      <w:r w:rsidRPr="001B2993">
        <w:rPr>
          <w:rFonts w:eastAsia="Calibri"/>
          <w:b/>
          <w:szCs w:val="24"/>
        </w:rPr>
        <w:t>alterations</w:t>
      </w:r>
      <w:r w:rsidRPr="001B2993">
        <w:rPr>
          <w:rFonts w:eastAsia="Calibri"/>
          <w:b/>
          <w:bCs/>
          <w:szCs w:val="24"/>
        </w:rPr>
        <w:t xml:space="preserve"> of parking facilities serving existing multifamily buildings. </w:t>
      </w:r>
      <w:r w:rsidRPr="001B2993">
        <w:rPr>
          <w:rFonts w:eastAsia="Calibri"/>
          <w:strike/>
          <w:szCs w:val="24"/>
        </w:rPr>
        <w:t>When</w:t>
      </w:r>
      <w:r w:rsidRPr="001B2993">
        <w:rPr>
          <w:rFonts w:eastAsia="Calibri"/>
          <w:szCs w:val="24"/>
        </w:rPr>
        <w:t xml:space="preserve"> </w:t>
      </w:r>
      <w:r w:rsidRPr="001B2993">
        <w:rPr>
          <w:rFonts w:eastAsia="Calibri"/>
          <w:szCs w:val="24"/>
          <w:u w:val="single"/>
        </w:rPr>
        <w:t>Where</w:t>
      </w:r>
      <w:r w:rsidRPr="001B2993">
        <w:rPr>
          <w:rFonts w:eastAsia="Calibri"/>
          <w:szCs w:val="24"/>
        </w:rPr>
        <w:t xml:space="preserve"> new parking facilities are added, or electrical systems or lighting of existing parking facilities are added or altered and the work requires a building permit, ten (10) percent of the total number of parking spaces added or altered shall be </w:t>
      </w:r>
      <w:r w:rsidRPr="001B2993">
        <w:rPr>
          <w:rFonts w:eastAsia="Calibri"/>
          <w:strike/>
          <w:szCs w:val="24"/>
        </w:rPr>
        <w:t>electric vehicle charging spaces (</w:t>
      </w:r>
      <w:r w:rsidRPr="001B2993">
        <w:rPr>
          <w:rFonts w:eastAsia="Calibri"/>
          <w:szCs w:val="24"/>
        </w:rPr>
        <w:t>EV</w:t>
      </w:r>
      <w:r w:rsidRPr="001B2993">
        <w:rPr>
          <w:rFonts w:eastAsia="Calibri"/>
          <w:szCs w:val="24"/>
          <w:u w:val="single"/>
        </w:rPr>
        <w:t xml:space="preserve"> capable</w:t>
      </w:r>
      <w:r w:rsidRPr="001B2993">
        <w:rPr>
          <w:rFonts w:eastAsia="Calibri"/>
          <w:strike/>
          <w:szCs w:val="24"/>
        </w:rPr>
        <w:t xml:space="preserve"> </w:t>
      </w:r>
      <w:r w:rsidRPr="001B2993">
        <w:rPr>
          <w:rFonts w:eastAsia="Calibri"/>
          <w:szCs w:val="24"/>
        </w:rPr>
        <w:t>spaces</w:t>
      </w:r>
      <w:r w:rsidRPr="001B2993">
        <w:rPr>
          <w:rFonts w:eastAsia="Calibri"/>
          <w:strike/>
          <w:szCs w:val="24"/>
        </w:rPr>
        <w:t xml:space="preserve">) capable of supporting </w:t>
      </w:r>
      <w:r w:rsidRPr="001B2993">
        <w:rPr>
          <w:rFonts w:eastAsia="Calibri"/>
          <w:szCs w:val="24"/>
          <w:u w:val="single"/>
        </w:rPr>
        <w:t xml:space="preserve">to support </w:t>
      </w:r>
      <w:r w:rsidRPr="001B2993">
        <w:rPr>
          <w:rFonts w:eastAsia="Calibri"/>
          <w:szCs w:val="24"/>
        </w:rPr>
        <w:t xml:space="preserve">future Level 2 </w:t>
      </w:r>
      <w:r w:rsidRPr="001B2993">
        <w:rPr>
          <w:rFonts w:eastAsia="Calibri"/>
          <w:strike/>
          <w:szCs w:val="24"/>
        </w:rPr>
        <w:t xml:space="preserve">EVSE </w:t>
      </w:r>
      <w:r w:rsidRPr="001B2993">
        <w:rPr>
          <w:rFonts w:eastAsia="Calibri"/>
          <w:szCs w:val="24"/>
          <w:u w:val="single"/>
        </w:rPr>
        <w:t>electric vehicle supply equipment</w:t>
      </w:r>
      <w:r w:rsidRPr="001B2993">
        <w:rPr>
          <w:rFonts w:eastAsia="Calibri"/>
          <w:szCs w:val="24"/>
        </w:rPr>
        <w:t xml:space="preserve">. </w:t>
      </w:r>
      <w:r w:rsidRPr="001B2993">
        <w:rPr>
          <w:rFonts w:eastAsia="Calibri"/>
          <w:szCs w:val="24"/>
          <w:u w:val="single"/>
        </w:rPr>
        <w:t xml:space="preserve">The service panel or subpanel circuit directory shall identify the overcurrent protective device space(s) reserved for future EV charging purposes as “EV CAPABLE.” </w:t>
      </w:r>
    </w:p>
    <w:p w14:paraId="54A74491" w14:textId="77777777" w:rsidR="007421A9" w:rsidRPr="001B2993" w:rsidRDefault="007421A9" w:rsidP="007421A9">
      <w:pPr>
        <w:autoSpaceDE w:val="0"/>
        <w:autoSpaceDN w:val="0"/>
        <w:adjustRightInd w:val="0"/>
        <w:ind w:left="720"/>
        <w:rPr>
          <w:rFonts w:eastAsia="Calibri"/>
          <w:szCs w:val="24"/>
        </w:rPr>
      </w:pPr>
      <w:r w:rsidRPr="001B2993">
        <w:rPr>
          <w:b/>
          <w:bCs/>
          <w:szCs w:val="24"/>
          <w:shd w:val="clear" w:color="auto" w:fill="FFFFFF"/>
        </w:rPr>
        <w:t>Notes:</w:t>
      </w:r>
      <w:r w:rsidRPr="001B2993">
        <w:rPr>
          <w:szCs w:val="24"/>
        </w:rPr>
        <w:t xml:space="preserve"> </w:t>
      </w:r>
    </w:p>
    <w:p w14:paraId="2FFE4931" w14:textId="77777777" w:rsidR="007421A9" w:rsidRPr="00924CE7" w:rsidRDefault="007421A9" w:rsidP="00BA0D64">
      <w:pPr>
        <w:pStyle w:val="ListParagraph"/>
        <w:numPr>
          <w:ilvl w:val="1"/>
          <w:numId w:val="18"/>
        </w:numPr>
        <w:autoSpaceDE w:val="0"/>
        <w:autoSpaceDN w:val="0"/>
        <w:adjustRightInd w:val="0"/>
        <w:spacing w:before="100" w:beforeAutospacing="1"/>
        <w:ind w:left="1440"/>
        <w:contextualSpacing/>
        <w:rPr>
          <w:rFonts w:cstheme="minorHAnsi"/>
          <w:sz w:val="24"/>
          <w:szCs w:val="24"/>
          <w:shd w:val="clear" w:color="auto" w:fill="FFFFFF"/>
        </w:rPr>
      </w:pPr>
      <w:r w:rsidRPr="00924CE7">
        <w:rPr>
          <w:rFonts w:cstheme="minorHAnsi"/>
          <w:sz w:val="24"/>
          <w:szCs w:val="24"/>
          <w:shd w:val="clear" w:color="auto" w:fill="FFFFFF"/>
        </w:rPr>
        <w:t>Construction documents are intended to demonstrate the project’s capability and capacity for facilitating future EV charging.</w:t>
      </w:r>
    </w:p>
    <w:p w14:paraId="494AA076" w14:textId="77777777" w:rsidR="007421A9" w:rsidRPr="00924CE7" w:rsidRDefault="007421A9" w:rsidP="00BA0D64">
      <w:pPr>
        <w:pStyle w:val="ListParagraph"/>
        <w:numPr>
          <w:ilvl w:val="1"/>
          <w:numId w:val="18"/>
        </w:numPr>
        <w:autoSpaceDE w:val="0"/>
        <w:autoSpaceDN w:val="0"/>
        <w:adjustRightInd w:val="0"/>
        <w:spacing w:before="100" w:beforeAutospacing="1"/>
        <w:ind w:left="1440"/>
        <w:contextualSpacing/>
        <w:rPr>
          <w:rFonts w:cstheme="minorHAnsi"/>
          <w:sz w:val="24"/>
          <w:szCs w:val="24"/>
          <w:shd w:val="clear" w:color="auto" w:fill="FFFFFF"/>
        </w:rPr>
      </w:pPr>
      <w:r w:rsidRPr="00924CE7">
        <w:rPr>
          <w:rFonts w:cstheme="minorHAnsi"/>
          <w:sz w:val="24"/>
          <w:szCs w:val="24"/>
          <w:shd w:val="clear" w:color="auto" w:fill="FFFFFF"/>
        </w:rPr>
        <w:t>There is no requirement for EV spaces to be constructed or available until EV chargers are installed for use.</w:t>
      </w:r>
    </w:p>
    <w:p w14:paraId="4EFAA988" w14:textId="77777777" w:rsidR="007421A9" w:rsidRDefault="007421A9" w:rsidP="007421A9">
      <w:pPr>
        <w:textAlignment w:val="baseline"/>
      </w:pPr>
    </w:p>
    <w:p w14:paraId="01469802" w14:textId="77777777" w:rsidR="007421A9" w:rsidRPr="001B2993" w:rsidRDefault="007421A9" w:rsidP="007421A9">
      <w:pPr>
        <w:textAlignment w:val="baseline"/>
      </w:pPr>
      <w:r w:rsidRPr="00FB0F2C">
        <w:rPr>
          <w:b/>
          <w:bCs/>
          <w:szCs w:val="24"/>
        </w:rPr>
        <w:t xml:space="preserve">Appendix </w:t>
      </w:r>
      <w:r w:rsidRPr="00FB0F2C">
        <w:rPr>
          <w:rFonts w:cs="Arial"/>
          <w:b/>
          <w:bCs/>
        </w:rPr>
        <w:t>A4 Residential Voluntary Measures</w:t>
      </w:r>
      <w:r>
        <w:rPr>
          <w:rFonts w:cs="Arial"/>
          <w:b/>
          <w:bCs/>
        </w:rPr>
        <w:t xml:space="preserve">, </w:t>
      </w:r>
      <w:r>
        <w:rPr>
          <w:b/>
          <w:bCs/>
          <w:szCs w:val="24"/>
        </w:rPr>
        <w:t xml:space="preserve">Section A4.106.8 Electric vehicle (EV) charging for new </w:t>
      </w:r>
      <w:r w:rsidRPr="00FB0F2C">
        <w:rPr>
          <w:b/>
          <w:bCs/>
          <w:szCs w:val="24"/>
        </w:rPr>
        <w:t xml:space="preserve">construction </w:t>
      </w:r>
      <w:r w:rsidRPr="00FB0F2C">
        <w:rPr>
          <w:rFonts w:cs="Arial"/>
        </w:rPr>
        <w:t>is adopted as mandatory and amended to read as follows:</w:t>
      </w:r>
    </w:p>
    <w:p w14:paraId="0C4230CA" w14:textId="77777777" w:rsidR="007421A9" w:rsidRPr="008969FA" w:rsidRDefault="007421A9" w:rsidP="007421A9">
      <w:pPr>
        <w:autoSpaceDE w:val="0"/>
        <w:autoSpaceDN w:val="0"/>
        <w:adjustRightInd w:val="0"/>
        <w:ind w:left="720"/>
        <w:rPr>
          <w:rFonts w:eastAsia="Calibri" w:cs="Arial"/>
          <w:color w:val="201F1E"/>
          <w:szCs w:val="24"/>
          <w:bdr w:val="none" w:sz="0" w:space="0" w:color="auto" w:frame="1"/>
        </w:rPr>
      </w:pPr>
      <w:r w:rsidRPr="00A520AD">
        <w:rPr>
          <w:rFonts w:eastAsia="Calibri" w:cs="Arial"/>
          <w:b/>
          <w:bCs/>
          <w:szCs w:val="24"/>
        </w:rPr>
        <w:t xml:space="preserve">A4.106.8 </w:t>
      </w:r>
      <w:r w:rsidRPr="00A520AD">
        <w:rPr>
          <w:rFonts w:eastAsia="Calibri" w:cs="Arial"/>
          <w:b/>
          <w:bCs/>
          <w:color w:val="201F1E"/>
          <w:szCs w:val="24"/>
          <w:bdr w:val="none" w:sz="0" w:space="0" w:color="auto" w:frame="1"/>
        </w:rPr>
        <w:t xml:space="preserve">Electric vehicle (EV) charging for new construction. </w:t>
      </w:r>
      <w:r w:rsidRPr="00A520AD">
        <w:rPr>
          <w:rFonts w:eastAsia="Calibri" w:cs="Arial"/>
          <w:color w:val="201F1E"/>
          <w:szCs w:val="24"/>
          <w:bdr w:val="none" w:sz="0" w:space="0" w:color="auto" w:frame="1"/>
        </w:rPr>
        <w:t xml:space="preserve">New construction shall comply with </w:t>
      </w:r>
      <w:r w:rsidRPr="004C68DD">
        <w:rPr>
          <w:rFonts w:eastAsia="Calibri" w:cs="Arial"/>
          <w:color w:val="201F1E"/>
          <w:szCs w:val="24"/>
          <w:bdr w:val="none" w:sz="0" w:space="0" w:color="auto" w:frame="1"/>
        </w:rPr>
        <w:t>Sections A4.106.8.1</w:t>
      </w:r>
      <w:r w:rsidRPr="004C68DD">
        <w:rPr>
          <w:rFonts w:eastAsia="Calibri" w:cs="Arial"/>
          <w:strike/>
          <w:color w:val="201F1E"/>
          <w:szCs w:val="24"/>
          <w:bdr w:val="none" w:sz="0" w:space="0" w:color="auto" w:frame="1"/>
        </w:rPr>
        <w:t>,</w:t>
      </w:r>
      <w:r w:rsidRPr="004C68DD">
        <w:rPr>
          <w:rFonts w:eastAsia="Calibri" w:cs="Arial"/>
          <w:color w:val="201F1E"/>
          <w:szCs w:val="24"/>
          <w:bdr w:val="none" w:sz="0" w:space="0" w:color="auto" w:frame="1"/>
        </w:rPr>
        <w:t xml:space="preserve"> </w:t>
      </w:r>
      <w:r w:rsidRPr="004C68DD">
        <w:rPr>
          <w:rFonts w:eastAsia="Calibri" w:cs="Arial"/>
          <w:color w:val="201F1E"/>
          <w:szCs w:val="24"/>
          <w:u w:val="single"/>
          <w:bdr w:val="none" w:sz="0" w:space="0" w:color="auto" w:frame="1"/>
        </w:rPr>
        <w:t>or</w:t>
      </w:r>
      <w:r w:rsidRPr="004C68DD">
        <w:rPr>
          <w:rFonts w:eastAsia="Calibri" w:cs="Arial"/>
          <w:color w:val="201F1E"/>
          <w:szCs w:val="24"/>
          <w:bdr w:val="none" w:sz="0" w:space="0" w:color="auto" w:frame="1"/>
        </w:rPr>
        <w:t xml:space="preserve"> A4.106.8.2 </w:t>
      </w:r>
      <w:r w:rsidRPr="004C68DD">
        <w:rPr>
          <w:rFonts w:eastAsia="Calibri" w:cs="Arial"/>
          <w:strike/>
          <w:color w:val="201F1E"/>
          <w:szCs w:val="24"/>
          <w:bdr w:val="none" w:sz="0" w:space="0" w:color="auto" w:frame="1"/>
        </w:rPr>
        <w:t>or A4</w:t>
      </w:r>
      <w:r w:rsidRPr="00A520AD">
        <w:rPr>
          <w:rFonts w:eastAsia="Calibri" w:cs="Arial"/>
          <w:strike/>
          <w:color w:val="201F1E"/>
          <w:szCs w:val="24"/>
          <w:bdr w:val="none" w:sz="0" w:space="0" w:color="auto" w:frame="1"/>
        </w:rPr>
        <w:t>.106.8.3</w:t>
      </w:r>
      <w:r w:rsidRPr="00A520AD">
        <w:rPr>
          <w:rFonts w:eastAsia="Calibri" w:cs="Arial"/>
          <w:color w:val="201F1E"/>
          <w:szCs w:val="24"/>
          <w:bdr w:val="none" w:sz="0" w:space="0" w:color="auto" w:frame="1"/>
        </w:rPr>
        <w:t xml:space="preserve">, to facilitate </w:t>
      </w:r>
      <w:r w:rsidRPr="00A520AD">
        <w:rPr>
          <w:rFonts w:eastAsia="Calibri" w:cs="Arial"/>
          <w:strike/>
          <w:color w:val="201F1E"/>
          <w:szCs w:val="24"/>
          <w:bdr w:val="none" w:sz="0" w:space="0" w:color="auto" w:frame="1"/>
        </w:rPr>
        <w:t>future</w:t>
      </w:r>
      <w:r w:rsidRPr="00A520AD">
        <w:rPr>
          <w:rFonts w:eastAsia="Calibri" w:cs="Arial"/>
          <w:color w:val="201F1E"/>
          <w:szCs w:val="24"/>
          <w:bdr w:val="none" w:sz="0" w:space="0" w:color="auto" w:frame="1"/>
        </w:rPr>
        <w:t xml:space="preserve"> </w:t>
      </w:r>
      <w:r w:rsidRPr="008818BE">
        <w:rPr>
          <w:rFonts w:eastAsia="Calibri" w:cs="Arial"/>
          <w:color w:val="201F1E"/>
          <w:szCs w:val="24"/>
          <w:u w:val="single"/>
          <w:bdr w:val="none" w:sz="0" w:space="0" w:color="auto" w:frame="1"/>
        </w:rPr>
        <w:t>the</w:t>
      </w:r>
      <w:r>
        <w:rPr>
          <w:rFonts w:eastAsia="Calibri" w:cs="Arial"/>
          <w:color w:val="201F1E"/>
          <w:szCs w:val="24"/>
          <w:bdr w:val="none" w:sz="0" w:space="0" w:color="auto" w:frame="1"/>
        </w:rPr>
        <w:t xml:space="preserve"> </w:t>
      </w:r>
      <w:r w:rsidRPr="008818BE">
        <w:rPr>
          <w:rFonts w:eastAsia="Calibri" w:cs="Arial"/>
          <w:color w:val="201F1E"/>
          <w:szCs w:val="24"/>
          <w:bdr w:val="none" w:sz="0" w:space="0" w:color="auto" w:frame="1"/>
        </w:rPr>
        <w:t>installation and use of</w:t>
      </w:r>
      <w:r w:rsidRPr="008818BE">
        <w:rPr>
          <w:rFonts w:eastAsia="Calibri" w:cs="Arial"/>
          <w:strike/>
          <w:color w:val="201F1E"/>
          <w:szCs w:val="24"/>
          <w:bdr w:val="none" w:sz="0" w:space="0" w:color="auto" w:frame="1"/>
        </w:rPr>
        <w:t xml:space="preserve"> electric</w:t>
      </w:r>
      <w:r w:rsidRPr="00A520AD">
        <w:rPr>
          <w:rFonts w:eastAsia="Calibri" w:cs="Arial"/>
          <w:strike/>
          <w:color w:val="201F1E"/>
          <w:szCs w:val="24"/>
          <w:bdr w:val="none" w:sz="0" w:space="0" w:color="auto" w:frame="1"/>
        </w:rPr>
        <w:t xml:space="preserve"> vehicle chargers</w:t>
      </w:r>
      <w:r w:rsidRPr="00A520AD">
        <w:rPr>
          <w:rFonts w:eastAsia="Calibri" w:cs="Arial"/>
          <w:color w:val="201F1E"/>
          <w:szCs w:val="24"/>
          <w:bdr w:val="none" w:sz="0" w:space="0" w:color="auto" w:frame="1"/>
        </w:rPr>
        <w:t xml:space="preserve"> </w:t>
      </w:r>
      <w:r w:rsidRPr="00A520AD">
        <w:rPr>
          <w:rFonts w:eastAsia="Calibri" w:cs="Arial"/>
          <w:color w:val="201F1E"/>
          <w:szCs w:val="24"/>
          <w:u w:val="single"/>
          <w:bdr w:val="none" w:sz="0" w:space="0" w:color="auto" w:frame="1"/>
        </w:rPr>
        <w:t>EV ready spaces</w:t>
      </w:r>
      <w:r w:rsidRPr="00A520AD">
        <w:rPr>
          <w:rFonts w:eastAsia="Calibri" w:cs="Arial"/>
          <w:color w:val="201F1E"/>
          <w:szCs w:val="24"/>
          <w:bdr w:val="none" w:sz="0" w:space="0" w:color="auto" w:frame="1"/>
        </w:rPr>
        <w:t>. Electric vehicle supply equipment (EVSE) shal</w:t>
      </w:r>
      <w:r w:rsidRPr="00D73866">
        <w:rPr>
          <w:rFonts w:eastAsia="Calibri" w:cs="Arial"/>
          <w:color w:val="201F1E"/>
          <w:szCs w:val="24"/>
          <w:bdr w:val="none" w:sz="0" w:space="0" w:color="auto" w:frame="1"/>
        </w:rPr>
        <w:t xml:space="preserve">l </w:t>
      </w:r>
      <w:r w:rsidRPr="008818BE">
        <w:rPr>
          <w:rFonts w:eastAsia="Calibri" w:cs="Arial"/>
          <w:color w:val="201F1E"/>
          <w:szCs w:val="24"/>
          <w:u w:val="single"/>
          <w:bdr w:val="none" w:sz="0" w:space="0" w:color="auto" w:frame="1"/>
        </w:rPr>
        <w:t>comply</w:t>
      </w:r>
      <w:r>
        <w:rPr>
          <w:rFonts w:eastAsia="Calibri" w:cs="Arial"/>
          <w:color w:val="201F1E"/>
          <w:szCs w:val="24"/>
          <w:bdr w:val="none" w:sz="0" w:space="0" w:color="auto" w:frame="1"/>
        </w:rPr>
        <w:t xml:space="preserve"> </w:t>
      </w:r>
      <w:r w:rsidRPr="008818BE">
        <w:rPr>
          <w:rFonts w:eastAsia="Calibri" w:cs="Arial"/>
          <w:strike/>
          <w:color w:val="201F1E"/>
          <w:szCs w:val="24"/>
          <w:bdr w:val="none" w:sz="0" w:space="0" w:color="auto" w:frame="1"/>
        </w:rPr>
        <w:t>be installed in accordance</w:t>
      </w:r>
      <w:r w:rsidRPr="00A520AD">
        <w:rPr>
          <w:rFonts w:eastAsia="Calibri" w:cs="Arial"/>
          <w:color w:val="201F1E"/>
          <w:szCs w:val="24"/>
          <w:bdr w:val="none" w:sz="0" w:space="0" w:color="auto" w:frame="1"/>
        </w:rPr>
        <w:t xml:space="preserve"> with the</w:t>
      </w:r>
      <w:r>
        <w:rPr>
          <w:rFonts w:eastAsia="Calibri" w:cs="Arial"/>
          <w:color w:val="201F1E"/>
          <w:szCs w:val="24"/>
          <w:bdr w:val="none" w:sz="0" w:space="0" w:color="auto" w:frame="1"/>
        </w:rPr>
        <w:t xml:space="preserve"> </w:t>
      </w:r>
      <w:r w:rsidRPr="00A520AD">
        <w:rPr>
          <w:rFonts w:eastAsia="Calibri" w:cs="Arial"/>
          <w:i/>
          <w:iCs/>
          <w:color w:val="201F1E"/>
          <w:szCs w:val="24"/>
          <w:bdr w:val="none" w:sz="0" w:space="0" w:color="auto" w:frame="1"/>
        </w:rPr>
        <w:t>California Electrical Code</w:t>
      </w:r>
      <w:r w:rsidRPr="00A520AD">
        <w:rPr>
          <w:rFonts w:eastAsia="Calibri" w:cs="Arial"/>
          <w:strike/>
          <w:color w:val="201F1E"/>
          <w:szCs w:val="24"/>
          <w:bdr w:val="none" w:sz="0" w:space="0" w:color="auto" w:frame="1"/>
        </w:rPr>
        <w:t>, Article 625</w:t>
      </w:r>
      <w:r w:rsidRPr="00A520AD">
        <w:rPr>
          <w:rFonts w:eastAsia="Calibri" w:cs="Arial"/>
          <w:color w:val="201F1E"/>
          <w:szCs w:val="24"/>
          <w:bdr w:val="none" w:sz="0" w:space="0" w:color="auto" w:frame="1"/>
        </w:rPr>
        <w:t>.</w:t>
      </w:r>
    </w:p>
    <w:p w14:paraId="6256615D" w14:textId="66D67EB7" w:rsidR="007421A9" w:rsidRDefault="007421A9" w:rsidP="007421A9">
      <w:pPr>
        <w:pStyle w:val="NormalWeb"/>
      </w:pPr>
      <w:r w:rsidRPr="00BC405A">
        <w:rPr>
          <w:b/>
          <w:bCs/>
        </w:rPr>
        <w:t>Appendix A4 Residential Voluntary Measures</w:t>
      </w:r>
      <w:r>
        <w:rPr>
          <w:b/>
          <w:bCs/>
        </w:rPr>
        <w:t>, Section A4.106.8.2</w:t>
      </w:r>
      <w:r>
        <w:rPr>
          <w:rFonts w:eastAsia="Calibri" w:cs="Arial"/>
          <w:b/>
          <w:bCs/>
        </w:rPr>
        <w:t xml:space="preserve"> </w:t>
      </w:r>
      <w:r w:rsidRPr="001F544F">
        <w:rPr>
          <w:rFonts w:cs="Arial"/>
          <w:b/>
          <w:bCs/>
          <w:color w:val="201F1E"/>
          <w:bdr w:val="none" w:sz="0" w:space="0" w:color="auto" w:frame="1"/>
        </w:rPr>
        <w:t xml:space="preserve">New multifamily </w:t>
      </w:r>
      <w:r w:rsidRPr="00BC405A">
        <w:rPr>
          <w:rFonts w:cs="Arial"/>
          <w:b/>
          <w:bCs/>
          <w:color w:val="201F1E"/>
          <w:bdr w:val="none" w:sz="0" w:space="0" w:color="auto" w:frame="1"/>
        </w:rPr>
        <w:t>development projects and</w:t>
      </w:r>
      <w:r>
        <w:rPr>
          <w:rFonts w:cs="Arial"/>
          <w:b/>
          <w:bCs/>
          <w:color w:val="201F1E"/>
          <w:bdr w:val="none" w:sz="0" w:space="0" w:color="auto" w:frame="1"/>
        </w:rPr>
        <w:t xml:space="preserve"> </w:t>
      </w:r>
      <w:r w:rsidRPr="007421A9">
        <w:rPr>
          <w:rFonts w:cs="Arial"/>
          <w:b/>
          <w:bCs/>
          <w:color w:val="201F1E"/>
          <w:bdr w:val="none" w:sz="0" w:space="0" w:color="auto" w:frame="1"/>
        </w:rPr>
        <w:t>hotels and motels, Tier 2</w:t>
      </w:r>
      <w:r w:rsidRPr="007421A9">
        <w:rPr>
          <w:rStyle w:val="FootnoteReference"/>
          <w:rFonts w:cs="Arial"/>
          <w:color w:val="201F1E"/>
          <w:bdr w:val="none" w:sz="0" w:space="0" w:color="auto" w:frame="1"/>
        </w:rPr>
        <w:footnoteReference w:id="10"/>
      </w:r>
      <w:r w:rsidRPr="007421A9">
        <w:rPr>
          <w:b/>
          <w:bCs/>
        </w:rPr>
        <w:t xml:space="preserve"> </w:t>
      </w:r>
      <w:r w:rsidRPr="007421A9">
        <w:t>is adopted</w:t>
      </w:r>
      <w:r w:rsidRPr="00BC405A">
        <w:t xml:space="preserve"> as mandatory </w:t>
      </w:r>
      <w:r>
        <w:t xml:space="preserve">and amended </w:t>
      </w:r>
      <w:r w:rsidRPr="00BC405A">
        <w:t>to read as follows</w:t>
      </w:r>
      <w:r>
        <w:t>:</w:t>
      </w:r>
    </w:p>
    <w:p w14:paraId="26E22A08" w14:textId="77777777" w:rsidR="007421A9" w:rsidRPr="000B7356" w:rsidRDefault="007421A9" w:rsidP="007421A9">
      <w:pPr>
        <w:shd w:val="clear" w:color="auto" w:fill="FFFFFF"/>
        <w:ind w:left="720"/>
        <w:rPr>
          <w:rFonts w:eastAsia="Calibri" w:cs="Arial"/>
          <w:b/>
          <w:bCs/>
          <w:szCs w:val="24"/>
        </w:rPr>
      </w:pPr>
      <w:r w:rsidRPr="000B7356">
        <w:rPr>
          <w:rFonts w:eastAsia="Calibri" w:cs="Arial"/>
          <w:b/>
          <w:bCs/>
          <w:szCs w:val="24"/>
        </w:rPr>
        <w:t xml:space="preserve">A4.106.8.2 </w:t>
      </w:r>
      <w:r w:rsidRPr="000B7356">
        <w:rPr>
          <w:rFonts w:cs="Arial"/>
          <w:b/>
          <w:bCs/>
          <w:color w:val="201F1E"/>
          <w:szCs w:val="24"/>
          <w:bdr w:val="none" w:sz="0" w:space="0" w:color="auto" w:frame="1"/>
        </w:rPr>
        <w:t xml:space="preserve">New multifamily </w:t>
      </w:r>
      <w:r w:rsidRPr="000B7356">
        <w:rPr>
          <w:rFonts w:cs="Arial"/>
          <w:b/>
          <w:bCs/>
          <w:strike/>
          <w:color w:val="201F1E"/>
          <w:szCs w:val="24"/>
          <w:bdr w:val="none" w:sz="0" w:space="0" w:color="auto" w:frame="1"/>
        </w:rPr>
        <w:t>development projects and</w:t>
      </w:r>
      <w:r w:rsidRPr="000B7356">
        <w:rPr>
          <w:rFonts w:cs="Arial"/>
          <w:b/>
          <w:bCs/>
          <w:color w:val="201F1E"/>
          <w:szCs w:val="24"/>
          <w:bdr w:val="none" w:sz="0" w:space="0" w:color="auto" w:frame="1"/>
        </w:rPr>
        <w:t xml:space="preserve"> </w:t>
      </w:r>
      <w:r w:rsidRPr="000B7356">
        <w:rPr>
          <w:rFonts w:cs="Arial"/>
          <w:b/>
          <w:bCs/>
          <w:color w:val="201F1E"/>
          <w:szCs w:val="24"/>
          <w:u w:val="single"/>
          <w:bdr w:val="none" w:sz="0" w:space="0" w:color="auto" w:frame="1"/>
        </w:rPr>
        <w:t>dwellings,</w:t>
      </w:r>
      <w:r w:rsidRPr="000B7356">
        <w:rPr>
          <w:rFonts w:cs="Arial"/>
          <w:b/>
          <w:bCs/>
          <w:color w:val="201F1E"/>
          <w:szCs w:val="24"/>
          <w:bdr w:val="none" w:sz="0" w:space="0" w:color="auto" w:frame="1"/>
        </w:rPr>
        <w:t xml:space="preserve"> hotels and motels. </w:t>
      </w:r>
      <w:r w:rsidRPr="000B7356">
        <w:rPr>
          <w:rFonts w:cs="Arial"/>
          <w:color w:val="201F1E"/>
          <w:szCs w:val="24"/>
          <w:bdr w:val="none" w:sz="0" w:space="0" w:color="auto" w:frame="1"/>
        </w:rPr>
        <w:t xml:space="preserve">New multifamily </w:t>
      </w:r>
      <w:r w:rsidRPr="000B7356">
        <w:rPr>
          <w:rFonts w:cs="Arial"/>
          <w:strike/>
          <w:color w:val="201F1E"/>
          <w:szCs w:val="24"/>
          <w:bdr w:val="none" w:sz="0" w:space="0" w:color="auto" w:frame="1"/>
        </w:rPr>
        <w:t>development projects and</w:t>
      </w:r>
      <w:r w:rsidRPr="000B7356">
        <w:rPr>
          <w:rFonts w:cs="Arial"/>
          <w:color w:val="201F1E"/>
          <w:szCs w:val="24"/>
          <w:bdr w:val="none" w:sz="0" w:space="0" w:color="auto" w:frame="1"/>
        </w:rPr>
        <w:t xml:space="preserve"> </w:t>
      </w:r>
      <w:r w:rsidRPr="000B7356">
        <w:rPr>
          <w:rFonts w:cs="Arial"/>
          <w:color w:val="201F1E"/>
          <w:szCs w:val="24"/>
          <w:u w:val="single"/>
          <w:bdr w:val="none" w:sz="0" w:space="0" w:color="auto" w:frame="1"/>
        </w:rPr>
        <w:t>dwellings,</w:t>
      </w:r>
      <w:r w:rsidRPr="000B7356">
        <w:rPr>
          <w:rFonts w:cs="Arial"/>
          <w:color w:val="201F1E"/>
          <w:szCs w:val="24"/>
          <w:bdr w:val="none" w:sz="0" w:space="0" w:color="auto" w:frame="1"/>
        </w:rPr>
        <w:t xml:space="preserve"> hotels and motels shall meet the following requirements.</w:t>
      </w:r>
    </w:p>
    <w:p w14:paraId="4D732CA7" w14:textId="77777777" w:rsidR="007421A9" w:rsidRPr="00B20614" w:rsidRDefault="007421A9" w:rsidP="007421A9">
      <w:pPr>
        <w:shd w:val="clear" w:color="auto" w:fill="FFFFFF"/>
        <w:ind w:left="720"/>
        <w:rPr>
          <w:rFonts w:eastAsia="Calibri" w:cs="Arial"/>
          <w:b/>
          <w:bCs/>
          <w:szCs w:val="24"/>
        </w:rPr>
      </w:pPr>
      <w:r w:rsidRPr="00B20614">
        <w:rPr>
          <w:rFonts w:eastAsia="Calibri" w:cs="Arial"/>
          <w:b/>
          <w:bCs/>
          <w:szCs w:val="24"/>
        </w:rPr>
        <w:t>A4.106.8.2.1 New multifamily development projects, and, hotels and motels.</w:t>
      </w:r>
    </w:p>
    <w:p w14:paraId="5684E1E7" w14:textId="77777777" w:rsidR="007421A9" w:rsidRPr="00746BF8" w:rsidRDefault="007421A9" w:rsidP="007421A9">
      <w:pPr>
        <w:autoSpaceDE w:val="0"/>
        <w:autoSpaceDN w:val="0"/>
        <w:adjustRightInd w:val="0"/>
        <w:ind w:left="720"/>
        <w:rPr>
          <w:rFonts w:cs="Arial"/>
          <w:b/>
          <w:szCs w:val="24"/>
        </w:rPr>
      </w:pPr>
      <w:r w:rsidRPr="00746BF8">
        <w:rPr>
          <w:rFonts w:cs="Arial"/>
          <w:b/>
          <w:szCs w:val="24"/>
        </w:rPr>
        <w:t>Tier 1.</w:t>
      </w:r>
    </w:p>
    <w:p w14:paraId="42DB2F96" w14:textId="77777777" w:rsidR="007421A9" w:rsidRPr="00541709" w:rsidRDefault="007421A9" w:rsidP="007421A9">
      <w:pPr>
        <w:autoSpaceDE w:val="0"/>
        <w:autoSpaceDN w:val="0"/>
        <w:adjustRightInd w:val="0"/>
        <w:ind w:left="1080"/>
        <w:rPr>
          <w:rFonts w:cs="Arial"/>
          <w:bCs/>
          <w:strike/>
          <w:szCs w:val="24"/>
        </w:rPr>
      </w:pPr>
      <w:r w:rsidRPr="00541709">
        <w:rPr>
          <w:rFonts w:cs="Arial"/>
          <w:b/>
          <w:strike/>
          <w:szCs w:val="24"/>
        </w:rPr>
        <w:t>EV Ready.</w:t>
      </w:r>
      <w:r w:rsidRPr="00541709">
        <w:rPr>
          <w:rFonts w:cs="Arial"/>
          <w:bCs/>
          <w:strike/>
          <w:szCs w:val="24"/>
        </w:rPr>
        <w:t xml:space="preserve"> Thirty-five (35) percent of the total number of parking spaces shall be equipped with low power Level 2 EV charging receptacles. For multifamily parking facilities, no more than one receptacle is required per dwelling unit when more than one parking space is provided for use by a single dwelling unit.</w:t>
      </w:r>
    </w:p>
    <w:p w14:paraId="6DBD7112" w14:textId="77777777" w:rsidR="007421A9" w:rsidRPr="00541709" w:rsidRDefault="007421A9" w:rsidP="007421A9">
      <w:pPr>
        <w:autoSpaceDE w:val="0"/>
        <w:autoSpaceDN w:val="0"/>
        <w:adjustRightInd w:val="0"/>
        <w:ind w:left="1440"/>
        <w:rPr>
          <w:rFonts w:cs="Arial"/>
          <w:bCs/>
          <w:strike/>
          <w:szCs w:val="24"/>
        </w:rPr>
      </w:pPr>
      <w:r w:rsidRPr="00541709">
        <w:rPr>
          <w:rFonts w:cs="Arial"/>
          <w:b/>
          <w:strike/>
          <w:szCs w:val="24"/>
        </w:rPr>
        <w:t>Exception:</w:t>
      </w:r>
      <w:r w:rsidRPr="00541709">
        <w:rPr>
          <w:rFonts w:cs="Arial"/>
          <w:bCs/>
          <w:strike/>
          <w:szCs w:val="24"/>
        </w:rPr>
        <w:t xml:space="preserve"> Areas of parking facilities served by parking lifts.</w:t>
      </w:r>
    </w:p>
    <w:p w14:paraId="17A7A8BE" w14:textId="77777777" w:rsidR="007421A9" w:rsidRDefault="007421A9" w:rsidP="007421A9">
      <w:pPr>
        <w:autoSpaceDE w:val="0"/>
        <w:autoSpaceDN w:val="0"/>
        <w:adjustRightInd w:val="0"/>
        <w:ind w:left="1080"/>
        <w:rPr>
          <w:rFonts w:cs="Arial"/>
          <w:bCs/>
          <w:strike/>
          <w:szCs w:val="24"/>
        </w:rPr>
      </w:pPr>
      <w:r w:rsidRPr="005C182E">
        <w:rPr>
          <w:rFonts w:cs="Arial"/>
          <w:b/>
          <w:strike/>
          <w:szCs w:val="24"/>
        </w:rPr>
        <w:t>EV Chargers for projects with 20 or more dwelling units, sleeping units or guest rooms.</w:t>
      </w:r>
      <w:r w:rsidRPr="00541709">
        <w:rPr>
          <w:rFonts w:cs="Arial"/>
          <w:bCs/>
          <w:strike/>
          <w:szCs w:val="24"/>
        </w:rPr>
        <w:t xml:space="preserve"> Ten (10) percent of the total number of parking spaces shall be equipped with Level 2 EVSE. Where common use parking is provided, at least one EV charger shall be located in the common use parking area and shall be available for use by all residents or guests.</w:t>
      </w:r>
    </w:p>
    <w:p w14:paraId="16013567" w14:textId="77777777" w:rsidR="007421A9" w:rsidRPr="0079415E" w:rsidRDefault="007421A9" w:rsidP="007421A9">
      <w:pPr>
        <w:autoSpaceDE w:val="0"/>
        <w:autoSpaceDN w:val="0"/>
        <w:adjustRightInd w:val="0"/>
        <w:ind w:left="1080"/>
        <w:rPr>
          <w:rFonts w:cs="Arial"/>
          <w:bCs/>
          <w:strike/>
          <w:szCs w:val="24"/>
        </w:rPr>
      </w:pPr>
    </w:p>
    <w:p w14:paraId="476A629F" w14:textId="77777777" w:rsidR="007421A9" w:rsidRPr="00924CE7" w:rsidRDefault="007421A9" w:rsidP="007421A9">
      <w:pPr>
        <w:pStyle w:val="ListParagraph"/>
        <w:widowControl w:val="0"/>
        <w:ind w:left="1080"/>
        <w:rPr>
          <w:rFonts w:cstheme="minorHAnsi"/>
          <w:b/>
          <w:sz w:val="24"/>
          <w:szCs w:val="24"/>
          <w:u w:val="single"/>
        </w:rPr>
      </w:pPr>
      <w:r w:rsidRPr="00924CE7">
        <w:rPr>
          <w:rFonts w:eastAsia="Calibri" w:cstheme="minorHAnsi"/>
          <w:b/>
          <w:bCs/>
          <w:sz w:val="24"/>
          <w:szCs w:val="24"/>
          <w:u w:val="single"/>
        </w:rPr>
        <w:t xml:space="preserve">1. </w:t>
      </w:r>
      <w:r w:rsidRPr="00924CE7">
        <w:rPr>
          <w:rFonts w:cstheme="minorHAnsi"/>
          <w:b/>
          <w:sz w:val="24"/>
          <w:szCs w:val="24"/>
          <w:u w:val="single"/>
        </w:rPr>
        <w:t>Hotels and Motels</w:t>
      </w:r>
    </w:p>
    <w:p w14:paraId="57563C10" w14:textId="2592B833" w:rsidR="007421A9" w:rsidRPr="00924CE7" w:rsidRDefault="007421A9" w:rsidP="007421A9">
      <w:pPr>
        <w:pStyle w:val="ListParagraph"/>
        <w:widowControl w:val="0"/>
        <w:ind w:left="1080" w:firstLine="0"/>
        <w:rPr>
          <w:rFonts w:cstheme="minorHAnsi"/>
          <w:bCs/>
          <w:sz w:val="24"/>
          <w:szCs w:val="24"/>
          <w:u w:val="single"/>
        </w:rPr>
      </w:pPr>
      <w:r w:rsidRPr="00924CE7">
        <w:rPr>
          <w:rFonts w:cstheme="minorHAnsi"/>
          <w:bCs/>
          <w:sz w:val="24"/>
          <w:szCs w:val="24"/>
          <w:u w:val="single"/>
        </w:rPr>
        <w:t>Fifty-five (55) percent of the total number of parking spaces shall be equipped with low power Level 2 EV charging receptacles.</w:t>
      </w:r>
    </w:p>
    <w:p w14:paraId="224B0489" w14:textId="77777777" w:rsidR="007421A9" w:rsidRPr="00924CE7" w:rsidRDefault="007421A9" w:rsidP="007421A9">
      <w:pPr>
        <w:pStyle w:val="ListParagraph"/>
        <w:widowControl w:val="0"/>
        <w:ind w:left="1080" w:firstLine="0"/>
        <w:rPr>
          <w:rFonts w:eastAsia="Calibri" w:cstheme="minorHAnsi"/>
          <w:sz w:val="24"/>
          <w:szCs w:val="24"/>
          <w:u w:val="single"/>
        </w:rPr>
      </w:pPr>
    </w:p>
    <w:p w14:paraId="32F9C3A0" w14:textId="4F1F86C9" w:rsidR="007421A9" w:rsidRPr="00924CE7" w:rsidRDefault="007421A9" w:rsidP="007421A9">
      <w:pPr>
        <w:pStyle w:val="ListParagraph"/>
        <w:widowControl w:val="0"/>
        <w:ind w:left="1080" w:firstLine="0"/>
        <w:rPr>
          <w:rFonts w:eastAsia="Calibri" w:cstheme="minorHAnsi"/>
          <w:sz w:val="24"/>
          <w:szCs w:val="24"/>
          <w:u w:val="single"/>
        </w:rPr>
      </w:pPr>
      <w:r w:rsidRPr="00924CE7">
        <w:rPr>
          <w:rFonts w:cstheme="minorHAnsi"/>
          <w:bCs/>
          <w:sz w:val="24"/>
          <w:szCs w:val="24"/>
          <w:u w:val="single"/>
        </w:rPr>
        <w:t xml:space="preserve">Twenty (20) percent of the total number of parking spaces for hotels and motels shall be equipped with Level 2 EV chargers. </w:t>
      </w:r>
      <w:r w:rsidRPr="00924CE7">
        <w:rPr>
          <w:rFonts w:eastAsia="Calibri" w:cstheme="minorHAnsi"/>
          <w:sz w:val="24"/>
          <w:szCs w:val="24"/>
          <w:u w:val="single"/>
        </w:rPr>
        <w:t>At least fifty (50) percent of the required EV chargers shall be equipped with J1772 connectors.</w:t>
      </w:r>
    </w:p>
    <w:p w14:paraId="32D2B262" w14:textId="77777777" w:rsidR="007421A9" w:rsidRPr="00924CE7" w:rsidRDefault="007421A9" w:rsidP="007421A9">
      <w:pPr>
        <w:pStyle w:val="ListParagraph"/>
        <w:widowControl w:val="0"/>
        <w:ind w:left="1080" w:firstLine="0"/>
        <w:rPr>
          <w:rFonts w:eastAsia="Calibri" w:cstheme="minorHAnsi"/>
          <w:sz w:val="24"/>
          <w:szCs w:val="24"/>
          <w:u w:val="single"/>
        </w:rPr>
      </w:pPr>
    </w:p>
    <w:p w14:paraId="58122A99" w14:textId="4A3A04EA" w:rsidR="007421A9" w:rsidRPr="00924CE7" w:rsidRDefault="007421A9" w:rsidP="007421A9">
      <w:pPr>
        <w:pStyle w:val="ListParagraph"/>
        <w:widowControl w:val="0"/>
        <w:autoSpaceDE w:val="0"/>
        <w:autoSpaceDN w:val="0"/>
        <w:adjustRightInd w:val="0"/>
        <w:ind w:left="1440" w:firstLine="0"/>
        <w:rPr>
          <w:rFonts w:cstheme="minorHAnsi"/>
          <w:b/>
          <w:sz w:val="24"/>
          <w:szCs w:val="24"/>
          <w:u w:val="single"/>
        </w:rPr>
      </w:pPr>
      <w:r w:rsidRPr="00924CE7">
        <w:rPr>
          <w:rFonts w:cstheme="minorHAnsi"/>
          <w:b/>
          <w:sz w:val="24"/>
          <w:szCs w:val="24"/>
          <w:u w:val="single"/>
        </w:rPr>
        <w:t xml:space="preserve">Exception: </w:t>
      </w:r>
      <w:r w:rsidRPr="00924CE7">
        <w:rPr>
          <w:rFonts w:eastAsia="Calibri" w:cstheme="minorHAnsi"/>
          <w:sz w:val="24"/>
          <w:szCs w:val="24"/>
          <w:u w:val="single"/>
        </w:rPr>
        <w:t>2.</w:t>
      </w:r>
      <w:r w:rsidRPr="00924CE7">
        <w:rPr>
          <w:rFonts w:eastAsia="Calibri" w:cstheme="minorHAnsi"/>
          <w:sz w:val="24"/>
          <w:szCs w:val="24"/>
          <w:u w:val="single"/>
        </w:rPr>
        <w:tab/>
        <w:t>Hotels and motels may install Level 2 EV chargers instead of all or portions of the required percentage of low power Level 2 receptacles for EV charging. Where Level 2 EV chargers are installed in place of low power Level 2 receptacles, at least fifty (50) percent of the installed EV chargers shall be equipped with J1772 connectors.</w:t>
      </w:r>
    </w:p>
    <w:p w14:paraId="4BF916FC" w14:textId="77777777" w:rsidR="007421A9" w:rsidRPr="00924CE7" w:rsidRDefault="007421A9" w:rsidP="007421A9">
      <w:pPr>
        <w:pStyle w:val="ListParagraph"/>
        <w:widowControl w:val="0"/>
        <w:autoSpaceDE w:val="0"/>
        <w:autoSpaceDN w:val="0"/>
        <w:adjustRightInd w:val="0"/>
        <w:ind w:left="1440" w:firstLine="0"/>
        <w:rPr>
          <w:rFonts w:eastAsia="Calibri" w:cstheme="minorHAnsi"/>
          <w:sz w:val="24"/>
          <w:szCs w:val="24"/>
          <w:u w:val="single"/>
        </w:rPr>
      </w:pPr>
    </w:p>
    <w:p w14:paraId="2DF38E80" w14:textId="77777777" w:rsidR="007421A9" w:rsidRPr="00924CE7" w:rsidRDefault="007421A9" w:rsidP="007421A9">
      <w:pPr>
        <w:pStyle w:val="ListParagraph"/>
        <w:widowControl w:val="0"/>
        <w:ind w:left="1080"/>
        <w:rPr>
          <w:rFonts w:cstheme="minorHAnsi"/>
          <w:b/>
          <w:sz w:val="24"/>
          <w:szCs w:val="24"/>
          <w:u w:val="single"/>
        </w:rPr>
      </w:pPr>
      <w:r w:rsidRPr="00924CE7">
        <w:rPr>
          <w:rFonts w:eastAsia="Calibri" w:cstheme="minorHAnsi"/>
          <w:b/>
          <w:bCs/>
          <w:sz w:val="24"/>
          <w:szCs w:val="24"/>
          <w:u w:val="single"/>
        </w:rPr>
        <w:t xml:space="preserve">2. </w:t>
      </w:r>
      <w:r w:rsidRPr="00924CE7">
        <w:rPr>
          <w:rFonts w:cstheme="minorHAnsi"/>
          <w:b/>
          <w:sz w:val="24"/>
          <w:szCs w:val="24"/>
          <w:u w:val="single"/>
        </w:rPr>
        <w:t xml:space="preserve">Multifamily Parking Facilities </w:t>
      </w:r>
    </w:p>
    <w:p w14:paraId="73AE8CE1" w14:textId="59D09398" w:rsidR="007421A9" w:rsidRPr="00924CE7" w:rsidRDefault="007421A9" w:rsidP="687350D0">
      <w:pPr>
        <w:pStyle w:val="ListParagraph"/>
        <w:widowControl w:val="0"/>
        <w:ind w:left="0" w:firstLine="0"/>
        <w:rPr>
          <w:rStyle w:val="Instructions"/>
          <w:rFonts w:eastAsia="Calibri" w:cstheme="minorBidi"/>
        </w:rPr>
      </w:pPr>
      <w:r w:rsidRPr="687350D0">
        <w:rPr>
          <w:rStyle w:val="Instructions"/>
          <w:rFonts w:eastAsia="Calibri" w:cstheme="minorBidi"/>
        </w:rPr>
        <w:t>[</w:t>
      </w:r>
      <w:r w:rsidR="00266CDC" w:rsidRPr="687350D0">
        <w:rPr>
          <w:rStyle w:val="Instructions"/>
          <w:rFonts w:eastAsia="Calibri" w:cstheme="minorBidi"/>
        </w:rPr>
        <w:t xml:space="preserve">Options: </w:t>
      </w:r>
      <w:r w:rsidRPr="687350D0">
        <w:rPr>
          <w:rStyle w:val="Instructions"/>
          <w:rFonts w:eastAsia="Calibri" w:cstheme="minorBidi"/>
        </w:rPr>
        <w:t>The requirements include two options for multifamily Tier 2 requirements, Options A and B. Jurisdictions may choose either.]</w:t>
      </w:r>
    </w:p>
    <w:p w14:paraId="0A5F7F6A" w14:textId="77777777" w:rsidR="007421A9" w:rsidRPr="00924CE7" w:rsidRDefault="007421A9" w:rsidP="007421A9">
      <w:pPr>
        <w:pStyle w:val="ListParagraph"/>
        <w:widowControl w:val="0"/>
        <w:ind w:firstLine="0"/>
        <w:rPr>
          <w:rFonts w:eastAsia="Calibri" w:cstheme="minorHAnsi"/>
          <w:sz w:val="24"/>
          <w:szCs w:val="24"/>
          <w:u w:val="single"/>
        </w:rPr>
      </w:pPr>
      <w:r w:rsidRPr="00924CE7">
        <w:rPr>
          <w:rStyle w:val="Instructions"/>
          <w:rFonts w:eastAsia="Calibri" w:cstheme="minorHAnsi"/>
        </w:rPr>
        <w:t>[Option A]</w:t>
      </w:r>
      <w:r w:rsidRPr="00924CE7">
        <w:rPr>
          <w:rFonts w:eastAsia="Calibri" w:cstheme="minorHAnsi"/>
          <w:sz w:val="24"/>
          <w:szCs w:val="24"/>
          <w:u w:val="single"/>
        </w:rPr>
        <w:t xml:space="preserve"> </w:t>
      </w:r>
    </w:p>
    <w:p w14:paraId="0CA7B9BC" w14:textId="3C9C2950" w:rsidR="007421A9" w:rsidRPr="00924CE7" w:rsidRDefault="007421A9" w:rsidP="007421A9">
      <w:pPr>
        <w:pStyle w:val="ListParagraph"/>
        <w:widowControl w:val="0"/>
        <w:ind w:left="1440" w:firstLine="0"/>
        <w:rPr>
          <w:rFonts w:eastAsia="Calibri" w:cstheme="minorHAnsi"/>
          <w:sz w:val="24"/>
          <w:szCs w:val="24"/>
          <w:u w:val="single"/>
        </w:rPr>
      </w:pPr>
      <w:r w:rsidRPr="00924CE7">
        <w:rPr>
          <w:rFonts w:eastAsia="Calibri" w:cstheme="minorHAnsi"/>
          <w:sz w:val="24"/>
          <w:szCs w:val="24"/>
          <w:u w:val="single"/>
        </w:rPr>
        <w:t>Fifty</w:t>
      </w:r>
      <w:r w:rsidR="00AC698E" w:rsidRPr="00924CE7">
        <w:rPr>
          <w:rFonts w:eastAsia="Calibri" w:cstheme="minorHAnsi"/>
          <w:sz w:val="24"/>
          <w:szCs w:val="24"/>
          <w:u w:val="single"/>
        </w:rPr>
        <w:t>-five</w:t>
      </w:r>
      <w:r w:rsidRPr="00924CE7">
        <w:rPr>
          <w:rFonts w:eastAsia="Calibri" w:cstheme="minorHAnsi"/>
          <w:sz w:val="24"/>
          <w:szCs w:val="24"/>
          <w:u w:val="single"/>
        </w:rPr>
        <w:t xml:space="preserve"> (5</w:t>
      </w:r>
      <w:r w:rsidR="00AC698E" w:rsidRPr="00924CE7">
        <w:rPr>
          <w:rFonts w:eastAsia="Calibri" w:cstheme="minorHAnsi"/>
          <w:sz w:val="24"/>
          <w:szCs w:val="24"/>
          <w:u w:val="single"/>
        </w:rPr>
        <w:t>5</w:t>
      </w:r>
      <w:r w:rsidRPr="00924CE7">
        <w:rPr>
          <w:rFonts w:eastAsia="Calibri" w:cstheme="minorHAnsi"/>
          <w:sz w:val="24"/>
          <w:szCs w:val="24"/>
          <w:u w:val="single"/>
        </w:rPr>
        <w:t>) percent of the total number of parking spaces shall be equipped with low power Level 2 EV charging receptacles. EV charging receptacles required by this section shall be located in at least one assigned parking space per dwelling unit where assigned parking is provided but need not exceed fifty</w:t>
      </w:r>
      <w:r w:rsidR="00AC698E" w:rsidRPr="00924CE7">
        <w:rPr>
          <w:rFonts w:eastAsia="Calibri" w:cstheme="minorHAnsi"/>
          <w:sz w:val="24"/>
          <w:szCs w:val="24"/>
          <w:u w:val="single"/>
        </w:rPr>
        <w:t>-five</w:t>
      </w:r>
      <w:r w:rsidRPr="00924CE7">
        <w:rPr>
          <w:rFonts w:eastAsia="Calibri" w:cstheme="minorHAnsi"/>
          <w:sz w:val="24"/>
          <w:szCs w:val="24"/>
          <w:u w:val="single"/>
        </w:rPr>
        <w:t xml:space="preserve"> (5</w:t>
      </w:r>
      <w:r w:rsidR="00AC698E" w:rsidRPr="00924CE7">
        <w:rPr>
          <w:rFonts w:eastAsia="Calibri" w:cstheme="minorHAnsi"/>
          <w:sz w:val="24"/>
          <w:szCs w:val="24"/>
          <w:u w:val="single"/>
        </w:rPr>
        <w:t>5</w:t>
      </w:r>
      <w:r w:rsidRPr="00924CE7">
        <w:rPr>
          <w:rFonts w:eastAsia="Calibri" w:cstheme="minorHAnsi"/>
          <w:sz w:val="24"/>
          <w:szCs w:val="24"/>
          <w:u w:val="single"/>
        </w:rPr>
        <w:t>) percent of the total number of parking spaces provided on the site.</w:t>
      </w:r>
      <w:r w:rsidRPr="00924CE7">
        <w:rPr>
          <w:rStyle w:val="FootnoteReference"/>
          <w:rFonts w:cstheme="minorHAnsi"/>
          <w:bCs/>
          <w:color w:val="00B0F0"/>
          <w:sz w:val="24"/>
          <w:szCs w:val="24"/>
          <w:u w:val="single"/>
        </w:rPr>
        <w:footnoteReference w:id="11"/>
      </w:r>
    </w:p>
    <w:p w14:paraId="198D2BEE" w14:textId="77777777" w:rsidR="007421A9" w:rsidRPr="00924CE7" w:rsidRDefault="007421A9" w:rsidP="007421A9">
      <w:pPr>
        <w:pStyle w:val="ListParagraph"/>
        <w:widowControl w:val="0"/>
        <w:ind w:left="1440" w:firstLine="0"/>
        <w:rPr>
          <w:rFonts w:cstheme="minorHAnsi"/>
          <w:b/>
          <w:sz w:val="24"/>
          <w:szCs w:val="24"/>
          <w:u w:val="single"/>
        </w:rPr>
      </w:pPr>
    </w:p>
    <w:p w14:paraId="57DAF9A4" w14:textId="24A8AA6C" w:rsidR="007421A9" w:rsidRPr="00924CE7" w:rsidRDefault="00AC698E" w:rsidP="007421A9">
      <w:pPr>
        <w:pStyle w:val="ListParagraph"/>
        <w:widowControl w:val="0"/>
        <w:ind w:left="1440" w:firstLine="0"/>
        <w:rPr>
          <w:rFonts w:cstheme="minorHAnsi"/>
          <w:bCs/>
          <w:sz w:val="24"/>
          <w:szCs w:val="24"/>
          <w:u w:val="single"/>
        </w:rPr>
      </w:pPr>
      <w:r w:rsidRPr="00924CE7">
        <w:rPr>
          <w:rFonts w:cstheme="minorHAnsi"/>
          <w:bCs/>
          <w:sz w:val="24"/>
          <w:szCs w:val="24"/>
          <w:u w:val="single"/>
        </w:rPr>
        <w:t>Twenty</w:t>
      </w:r>
      <w:r w:rsidR="007421A9" w:rsidRPr="00924CE7">
        <w:rPr>
          <w:rFonts w:cstheme="minorHAnsi"/>
          <w:bCs/>
          <w:sz w:val="24"/>
          <w:szCs w:val="24"/>
          <w:u w:val="single"/>
        </w:rPr>
        <w:t xml:space="preserve"> (</w:t>
      </w:r>
      <w:r w:rsidRPr="00924CE7">
        <w:rPr>
          <w:rFonts w:cstheme="minorHAnsi"/>
          <w:bCs/>
          <w:sz w:val="24"/>
          <w:szCs w:val="24"/>
          <w:u w:val="single"/>
        </w:rPr>
        <w:t>20</w:t>
      </w:r>
      <w:r w:rsidR="007421A9" w:rsidRPr="00924CE7">
        <w:rPr>
          <w:rFonts w:cstheme="minorHAnsi"/>
          <w:bCs/>
          <w:sz w:val="24"/>
          <w:szCs w:val="24"/>
          <w:u w:val="single"/>
        </w:rPr>
        <w:t xml:space="preserve">) percent </w:t>
      </w:r>
      <w:r w:rsidR="007421A9" w:rsidRPr="00924CE7">
        <w:rPr>
          <w:rFonts w:eastAsia="Calibri" w:cstheme="minorHAnsi"/>
          <w:sz w:val="24"/>
          <w:szCs w:val="24"/>
          <w:u w:val="single"/>
        </w:rPr>
        <w:t xml:space="preserve">of the total number of parking spaces shall be equipped with Level 2 EV chargers. At least fifty (50) percent of the required EV chargers shall be equipped with J1772 connectors. </w:t>
      </w:r>
      <w:r w:rsidR="007421A9" w:rsidRPr="00924CE7">
        <w:rPr>
          <w:rFonts w:cstheme="minorHAnsi"/>
          <w:bCs/>
          <w:sz w:val="24"/>
          <w:szCs w:val="24"/>
          <w:u w:val="single"/>
        </w:rPr>
        <w:t>Where common use parking or unassigned parking is provided, EV chargers shall be located in common use or unassigned parking areas and shall be available for use by all residents or guests.</w:t>
      </w:r>
    </w:p>
    <w:p w14:paraId="22DF2F10" w14:textId="77777777" w:rsidR="00AC698E" w:rsidRPr="00924CE7" w:rsidRDefault="00AC698E" w:rsidP="007421A9">
      <w:pPr>
        <w:pStyle w:val="ListParagraph"/>
        <w:widowControl w:val="0"/>
        <w:ind w:left="1440" w:firstLine="0"/>
        <w:rPr>
          <w:rFonts w:cstheme="minorHAnsi"/>
          <w:bCs/>
          <w:sz w:val="24"/>
          <w:szCs w:val="24"/>
          <w:u w:val="single"/>
        </w:rPr>
      </w:pPr>
    </w:p>
    <w:p w14:paraId="06A7DA8E" w14:textId="77777777" w:rsidR="007421A9" w:rsidRPr="00924CE7" w:rsidRDefault="007421A9" w:rsidP="007421A9">
      <w:pPr>
        <w:pStyle w:val="ListParagraph"/>
        <w:widowControl w:val="0"/>
        <w:ind w:left="1440" w:firstLine="0"/>
        <w:rPr>
          <w:rFonts w:cstheme="minorHAnsi"/>
          <w:bCs/>
          <w:sz w:val="24"/>
          <w:szCs w:val="24"/>
          <w:u w:val="single"/>
        </w:rPr>
      </w:pPr>
    </w:p>
    <w:p w14:paraId="2ED7B4E3" w14:textId="0264BB31" w:rsidR="007421A9" w:rsidRPr="00924CE7" w:rsidRDefault="007421A9" w:rsidP="00AC698E">
      <w:pPr>
        <w:pStyle w:val="ListParagraph"/>
        <w:widowControl w:val="0"/>
        <w:ind w:firstLine="0"/>
        <w:rPr>
          <w:rFonts w:cstheme="minorHAnsi"/>
          <w:i/>
          <w:iCs/>
          <w:color w:val="0070C0"/>
          <w:sz w:val="24"/>
        </w:rPr>
      </w:pPr>
      <w:r w:rsidRPr="00924CE7">
        <w:rPr>
          <w:rStyle w:val="Instructions"/>
          <w:rFonts w:cstheme="minorHAnsi"/>
        </w:rPr>
        <w:t>[Option B]</w:t>
      </w:r>
    </w:p>
    <w:p w14:paraId="43A9B821" w14:textId="21E1E792" w:rsidR="007421A9" w:rsidRPr="00924CE7" w:rsidRDefault="00AC698E" w:rsidP="007421A9">
      <w:pPr>
        <w:pStyle w:val="ListParagraph"/>
        <w:widowControl w:val="0"/>
        <w:ind w:left="1440" w:firstLine="0"/>
        <w:rPr>
          <w:rFonts w:cstheme="minorHAnsi"/>
          <w:bCs/>
          <w:sz w:val="24"/>
          <w:szCs w:val="24"/>
          <w:u w:val="single"/>
        </w:rPr>
      </w:pPr>
      <w:r w:rsidRPr="00924CE7">
        <w:rPr>
          <w:rFonts w:cstheme="minorHAnsi"/>
          <w:bCs/>
          <w:sz w:val="24"/>
          <w:szCs w:val="24"/>
          <w:u w:val="single"/>
        </w:rPr>
        <w:t>Install one low power Level 2 EV charging receptacle for each parking space available for use by residents.</w:t>
      </w:r>
    </w:p>
    <w:p w14:paraId="7C69FEA5" w14:textId="77777777" w:rsidR="00AC698E" w:rsidRPr="00924CE7" w:rsidRDefault="00AC698E" w:rsidP="007421A9">
      <w:pPr>
        <w:pStyle w:val="ListParagraph"/>
        <w:widowControl w:val="0"/>
        <w:ind w:left="1440" w:firstLine="0"/>
        <w:rPr>
          <w:rFonts w:cstheme="minorHAnsi"/>
          <w:bCs/>
          <w:sz w:val="24"/>
          <w:szCs w:val="24"/>
          <w:u w:val="single"/>
        </w:rPr>
      </w:pPr>
    </w:p>
    <w:p w14:paraId="7FC02430" w14:textId="3BCB0B32" w:rsidR="00AC698E" w:rsidRPr="00924CE7" w:rsidRDefault="00AC698E" w:rsidP="00AC698E">
      <w:pPr>
        <w:pStyle w:val="ListParagraph"/>
        <w:widowControl w:val="0"/>
        <w:ind w:left="1440" w:firstLine="0"/>
        <w:rPr>
          <w:rFonts w:cstheme="minorHAnsi"/>
          <w:bCs/>
          <w:sz w:val="24"/>
          <w:szCs w:val="24"/>
          <w:u w:val="single"/>
        </w:rPr>
      </w:pPr>
      <w:r w:rsidRPr="00924CE7">
        <w:rPr>
          <w:rFonts w:cstheme="minorHAnsi"/>
          <w:bCs/>
          <w:sz w:val="24"/>
          <w:szCs w:val="24"/>
          <w:u w:val="single"/>
        </w:rPr>
        <w:t xml:space="preserve">Twenty (20) percent </w:t>
      </w:r>
      <w:r w:rsidRPr="00924CE7">
        <w:rPr>
          <w:rFonts w:eastAsia="Calibri" w:cstheme="minorHAnsi"/>
          <w:sz w:val="24"/>
          <w:szCs w:val="24"/>
          <w:u w:val="single"/>
        </w:rPr>
        <w:t xml:space="preserve">of the total number of parking spaces shall be equipped with Level 2 EV chargers. At least fifty (50) percent of the required EV chargers shall be equipped with J1772 connectors. </w:t>
      </w:r>
      <w:r w:rsidRPr="00924CE7">
        <w:rPr>
          <w:rFonts w:cstheme="minorHAnsi"/>
          <w:bCs/>
          <w:sz w:val="24"/>
          <w:szCs w:val="24"/>
          <w:u w:val="single"/>
        </w:rPr>
        <w:t>Where common use parking or unassigned parking is provided, EV chargers shall be located in common use or unassigned parking areas and shall be available for use by all residents or guests.</w:t>
      </w:r>
    </w:p>
    <w:p w14:paraId="5782AF3B" w14:textId="77777777" w:rsidR="00AC698E" w:rsidRDefault="00AC698E" w:rsidP="007421A9">
      <w:pPr>
        <w:pStyle w:val="ListParagraph"/>
        <w:widowControl w:val="0"/>
        <w:ind w:left="1440" w:firstLine="0"/>
        <w:rPr>
          <w:rFonts w:ascii="Times New Roman" w:hAnsi="Times New Roman"/>
          <w:bCs/>
          <w:sz w:val="24"/>
          <w:szCs w:val="24"/>
          <w:u w:val="single"/>
        </w:rPr>
      </w:pPr>
    </w:p>
    <w:p w14:paraId="259F6530" w14:textId="4C0495AC" w:rsidR="00266CDC" w:rsidRDefault="00266CDC" w:rsidP="007421A9">
      <w:pPr>
        <w:autoSpaceDE w:val="0"/>
        <w:autoSpaceDN w:val="0"/>
        <w:adjustRightInd w:val="0"/>
        <w:ind w:left="360"/>
        <w:rPr>
          <w:rStyle w:val="Instructions"/>
        </w:rPr>
      </w:pPr>
      <w:r w:rsidRPr="00266CDC">
        <w:rPr>
          <w:rStyle w:val="Instructions"/>
        </w:rPr>
        <w:t>[</w:t>
      </w:r>
      <w:r>
        <w:rPr>
          <w:rStyle w:val="Instructions"/>
        </w:rPr>
        <w:t>End of Options section</w:t>
      </w:r>
      <w:r w:rsidRPr="00266CDC">
        <w:rPr>
          <w:rStyle w:val="Instructions"/>
        </w:rPr>
        <w:t>]</w:t>
      </w:r>
    </w:p>
    <w:p w14:paraId="7250FCCB" w14:textId="77777777" w:rsidR="00266CDC" w:rsidRPr="00266CDC" w:rsidRDefault="00266CDC" w:rsidP="007421A9">
      <w:pPr>
        <w:autoSpaceDE w:val="0"/>
        <w:autoSpaceDN w:val="0"/>
        <w:adjustRightInd w:val="0"/>
        <w:ind w:left="360"/>
        <w:rPr>
          <w:rStyle w:val="Instructions"/>
        </w:rPr>
      </w:pPr>
    </w:p>
    <w:p w14:paraId="05C0F380" w14:textId="05C304E4" w:rsidR="007421A9" w:rsidRPr="00835A1E" w:rsidRDefault="007421A9" w:rsidP="007421A9">
      <w:pPr>
        <w:autoSpaceDE w:val="0"/>
        <w:autoSpaceDN w:val="0"/>
        <w:adjustRightInd w:val="0"/>
        <w:ind w:left="360"/>
        <w:rPr>
          <w:b/>
          <w:szCs w:val="24"/>
          <w:u w:val="single"/>
        </w:rPr>
      </w:pPr>
      <w:r w:rsidRPr="00835A1E">
        <w:rPr>
          <w:b/>
          <w:szCs w:val="24"/>
          <w:u w:val="single"/>
        </w:rPr>
        <w:t xml:space="preserve">Exception to </w:t>
      </w:r>
      <w:r w:rsidRPr="00835A1E">
        <w:rPr>
          <w:b/>
          <w:bCs/>
          <w:szCs w:val="24"/>
          <w:u w:val="single"/>
        </w:rPr>
        <w:t>Section A4.106</w:t>
      </w:r>
      <w:r w:rsidRPr="00835A1E">
        <w:rPr>
          <w:b/>
          <w:bCs/>
          <w:u w:val="single"/>
        </w:rPr>
        <w:t>.8.2</w:t>
      </w:r>
      <w:r w:rsidRPr="00835A1E">
        <w:rPr>
          <w:b/>
          <w:szCs w:val="24"/>
          <w:u w:val="single"/>
        </w:rPr>
        <w:t xml:space="preserve">: </w:t>
      </w:r>
      <w:r w:rsidRPr="00835A1E">
        <w:rPr>
          <w:rFonts w:eastAsia="Calibri"/>
          <w:szCs w:val="24"/>
          <w:u w:val="single"/>
        </w:rPr>
        <w:t>Areas of parking facilities served by parking lifts,</w:t>
      </w:r>
      <w:r w:rsidRPr="00835A1E">
        <w:rPr>
          <w:szCs w:val="24"/>
          <w:u w:val="single"/>
        </w:rPr>
        <w:t xml:space="preserve"> </w:t>
      </w:r>
      <w:r w:rsidRPr="00835A1E">
        <w:rPr>
          <w:rFonts w:eastAsia="Calibri"/>
          <w:szCs w:val="24"/>
          <w:u w:val="single"/>
        </w:rPr>
        <w:t>including but not limited to automated mechanical-access open parking garages as defined in the California Building Code; or parking facilities otherwise incapable of supporting electric vehicle charging.</w:t>
      </w:r>
    </w:p>
    <w:p w14:paraId="564A356A" w14:textId="77777777" w:rsidR="007421A9" w:rsidRPr="00835A1E" w:rsidRDefault="007421A9" w:rsidP="007421A9">
      <w:pPr>
        <w:autoSpaceDE w:val="0"/>
        <w:autoSpaceDN w:val="0"/>
        <w:adjustRightInd w:val="0"/>
        <w:ind w:left="360"/>
        <w:rPr>
          <w:b/>
          <w:szCs w:val="24"/>
          <w:u w:val="single"/>
        </w:rPr>
      </w:pPr>
    </w:p>
    <w:p w14:paraId="77EFFB05" w14:textId="77777777" w:rsidR="007421A9" w:rsidRPr="00835A1E" w:rsidRDefault="007421A9" w:rsidP="007421A9">
      <w:pPr>
        <w:autoSpaceDE w:val="0"/>
        <w:autoSpaceDN w:val="0"/>
        <w:adjustRightInd w:val="0"/>
        <w:ind w:left="360"/>
        <w:rPr>
          <w:bCs/>
          <w:szCs w:val="24"/>
          <w:u w:val="single"/>
        </w:rPr>
      </w:pPr>
      <w:r w:rsidRPr="00835A1E">
        <w:rPr>
          <w:b/>
          <w:szCs w:val="24"/>
          <w:u w:val="single"/>
        </w:rPr>
        <w:t>Note to Section A4.106.8.2:</w:t>
      </w:r>
      <w:r w:rsidRPr="00835A1E">
        <w:rPr>
          <w:bCs/>
          <w:szCs w:val="24"/>
          <w:u w:val="single"/>
        </w:rPr>
        <w:t xml:space="preserve"> An automatic load management system </w:t>
      </w:r>
      <w:r w:rsidRPr="00835A1E">
        <w:rPr>
          <w:szCs w:val="24"/>
          <w:u w:val="single"/>
          <w:bdr w:val="none" w:sz="0" w:space="0" w:color="auto" w:frame="1"/>
        </w:rPr>
        <w:t>(ALMS) may be used to reduce the maximum required electrical capacity to each space served by the ALMS. The electrical system and any on-site distribution transformers shall have sufficient capacity to deliver at least 3.3 kW simultaneously to each EV charging station (EVCS) served by the ALMS. The branch circuit shall have a minimum capacity of 40 amperes, and installed EV chargers shall have a capacity of not less than 30 amperes.</w:t>
      </w:r>
    </w:p>
    <w:p w14:paraId="4C7DF503" w14:textId="77777777" w:rsidR="007421A9" w:rsidRPr="00835A1E" w:rsidRDefault="007421A9" w:rsidP="007421A9">
      <w:pPr>
        <w:autoSpaceDE w:val="0"/>
        <w:autoSpaceDN w:val="0"/>
        <w:adjustRightInd w:val="0"/>
        <w:ind w:left="360"/>
        <w:rPr>
          <w:rFonts w:cs="Arial"/>
          <w:szCs w:val="24"/>
          <w:shd w:val="clear" w:color="auto" w:fill="FFFFFF"/>
        </w:rPr>
      </w:pPr>
    </w:p>
    <w:p w14:paraId="172D5A38" w14:textId="77777777" w:rsidR="007421A9" w:rsidRPr="007B155F" w:rsidRDefault="007421A9" w:rsidP="007421A9">
      <w:pPr>
        <w:textAlignment w:val="baseline"/>
      </w:pPr>
      <w:r w:rsidRPr="00835A1E">
        <w:rPr>
          <w:b/>
          <w:bCs/>
        </w:rPr>
        <w:t xml:space="preserve">Appendix A4 Residential Voluntary Measures, </w:t>
      </w:r>
      <w:r w:rsidRPr="00835A1E">
        <w:rPr>
          <w:rFonts w:cs="Arial"/>
          <w:b/>
          <w:bCs/>
          <w:szCs w:val="24"/>
          <w:shd w:val="clear" w:color="auto" w:fill="FFFFFF"/>
        </w:rPr>
        <w:t>Section A4.106.8.2.2</w:t>
      </w:r>
      <w:r w:rsidRPr="00835A1E">
        <w:rPr>
          <w:b/>
          <w:bCs/>
          <w:szCs w:val="24"/>
        </w:rPr>
        <w:t xml:space="preserve"> Technical Requirements </w:t>
      </w:r>
      <w:r w:rsidRPr="00835A1E">
        <w:rPr>
          <w:rFonts w:cs="Arial"/>
        </w:rPr>
        <w:t>is adopted as mandatory and amended to read as follows:</w:t>
      </w:r>
    </w:p>
    <w:p w14:paraId="41EADFEC" w14:textId="77777777" w:rsidR="007421A9" w:rsidRDefault="007421A9" w:rsidP="007421A9">
      <w:pPr>
        <w:textAlignment w:val="baseline"/>
        <w:rPr>
          <w:rFonts w:eastAsia="Calibri" w:cs="Arial"/>
          <w:b/>
          <w:bCs/>
          <w:szCs w:val="24"/>
        </w:rPr>
      </w:pPr>
    </w:p>
    <w:p w14:paraId="6A9D48CF" w14:textId="77777777" w:rsidR="007421A9" w:rsidRDefault="007421A9" w:rsidP="007421A9">
      <w:pPr>
        <w:ind w:left="720"/>
        <w:textAlignment w:val="baseline"/>
        <w:rPr>
          <w:rFonts w:eastAsia="Calibri" w:cs="Arial"/>
          <w:szCs w:val="24"/>
        </w:rPr>
      </w:pPr>
      <w:r w:rsidRPr="001C2D25">
        <w:rPr>
          <w:rFonts w:eastAsia="Calibri" w:cs="Arial"/>
          <w:b/>
          <w:bCs/>
          <w:szCs w:val="24"/>
        </w:rPr>
        <w:t>A4.106.8.2.2 Technical requirements.</w:t>
      </w:r>
      <w:r w:rsidRPr="001C2D25">
        <w:rPr>
          <w:rFonts w:eastAsia="Calibri" w:cs="Arial"/>
          <w:szCs w:val="24"/>
        </w:rPr>
        <w:t xml:space="preserve"> The EV spaces required </w:t>
      </w:r>
      <w:r w:rsidRPr="007421A9">
        <w:rPr>
          <w:rFonts w:eastAsia="Calibri" w:cs="Arial"/>
          <w:szCs w:val="24"/>
        </w:rPr>
        <w:t>by Section A4.106.8.2</w:t>
      </w:r>
      <w:r w:rsidRPr="001C2D25">
        <w:rPr>
          <w:rFonts w:eastAsia="Calibri" w:cs="Arial"/>
          <w:szCs w:val="24"/>
        </w:rPr>
        <w:t xml:space="preserve"> shall be designed and constructed </w:t>
      </w:r>
      <w:r w:rsidRPr="0030286B">
        <w:rPr>
          <w:rFonts w:eastAsia="Calibri" w:cs="Arial"/>
          <w:szCs w:val="24"/>
        </w:rPr>
        <w:t>in accordance</w:t>
      </w:r>
      <w:r w:rsidRPr="001C2D25">
        <w:rPr>
          <w:rFonts w:eastAsia="Calibri" w:cs="Arial"/>
          <w:szCs w:val="24"/>
        </w:rPr>
        <w:t xml:space="preserve"> with Sections 4.106.4.2, </w:t>
      </w:r>
      <w:r w:rsidRPr="001C2D25">
        <w:rPr>
          <w:rFonts w:eastAsia="Calibri" w:cs="Arial"/>
          <w:strike/>
          <w:szCs w:val="24"/>
        </w:rPr>
        <w:t>4.106.4.2.1 (Notes), 4.106.4.2.2 (Notes),</w:t>
      </w:r>
      <w:r w:rsidRPr="001C2D25">
        <w:rPr>
          <w:rFonts w:eastAsia="Calibri" w:cs="Arial"/>
          <w:szCs w:val="24"/>
        </w:rPr>
        <w:t xml:space="preserve"> 4.106.4.2.2.1.1, 4.106.4.2.2.1.2, </w:t>
      </w:r>
      <w:r w:rsidRPr="001C2D25">
        <w:rPr>
          <w:rFonts w:eastAsia="Calibri" w:cs="Arial"/>
          <w:strike/>
          <w:szCs w:val="24"/>
        </w:rPr>
        <w:t>4.106.4.2.2.1.3,</w:t>
      </w:r>
      <w:r w:rsidRPr="001C2D25">
        <w:rPr>
          <w:rFonts w:eastAsia="Calibri" w:cs="Arial"/>
          <w:szCs w:val="24"/>
        </w:rPr>
        <w:t xml:space="preserve"> </w:t>
      </w:r>
      <w:r w:rsidRPr="001C2D25">
        <w:rPr>
          <w:rFonts w:eastAsia="Calibri" w:cs="Arial"/>
          <w:strike/>
          <w:szCs w:val="24"/>
        </w:rPr>
        <w:t>4.106.4.2.3,</w:t>
      </w:r>
      <w:r w:rsidRPr="001C2D25">
        <w:rPr>
          <w:rFonts w:eastAsia="Calibri" w:cs="Arial"/>
          <w:szCs w:val="24"/>
        </w:rPr>
        <w:t xml:space="preserve"> </w:t>
      </w:r>
      <w:r w:rsidRPr="001C2D25">
        <w:rPr>
          <w:rFonts w:eastAsia="Calibri" w:cs="Arial"/>
          <w:strike/>
          <w:szCs w:val="24"/>
        </w:rPr>
        <w:t>4.106.4.2.4</w:t>
      </w:r>
      <w:r w:rsidRPr="001C2D25">
        <w:rPr>
          <w:rFonts w:eastAsia="Calibri" w:cs="Arial"/>
          <w:szCs w:val="24"/>
        </w:rPr>
        <w:t xml:space="preserve"> and 4.106.4.2.5.</w:t>
      </w:r>
      <w:r>
        <w:rPr>
          <w:rFonts w:eastAsia="Calibri" w:cs="Arial"/>
          <w:szCs w:val="24"/>
        </w:rPr>
        <w:t xml:space="preserve"> </w:t>
      </w:r>
    </w:p>
    <w:p w14:paraId="2EFF1281" w14:textId="77777777" w:rsidR="007421A9" w:rsidRDefault="007421A9" w:rsidP="007421A9">
      <w:pPr>
        <w:textAlignment w:val="baseline"/>
        <w:rPr>
          <w:rFonts w:eastAsia="Calibri" w:cs="Arial"/>
          <w:szCs w:val="24"/>
        </w:rPr>
      </w:pPr>
    </w:p>
    <w:p w14:paraId="2F6845BC" w14:textId="77777777" w:rsidR="00924234" w:rsidRDefault="00924234">
      <w:pPr>
        <w:rPr>
          <w:b/>
          <w:bCs/>
        </w:rPr>
      </w:pPr>
      <w:r>
        <w:rPr>
          <w:b/>
          <w:bCs/>
        </w:rPr>
        <w:br w:type="page"/>
      </w:r>
    </w:p>
    <w:p w14:paraId="1D0DA275" w14:textId="77777777" w:rsidR="00924234" w:rsidRDefault="00924234" w:rsidP="00924234">
      <w:pPr>
        <w:pStyle w:val="Heading1"/>
      </w:pPr>
      <w:r>
        <w:t>Nonresidential Requirements</w:t>
      </w:r>
    </w:p>
    <w:p w14:paraId="15A3C589" w14:textId="77777777" w:rsidR="00924234" w:rsidRPr="00924234" w:rsidRDefault="00924234" w:rsidP="00924234"/>
    <w:p w14:paraId="0A75A885" w14:textId="7EEE750E" w:rsidR="007421A9" w:rsidRPr="006C1DE3" w:rsidRDefault="007421A9" w:rsidP="007421A9">
      <w:pPr>
        <w:textAlignment w:val="baseline"/>
        <w:rPr>
          <w:b/>
          <w:bCs/>
          <w:szCs w:val="24"/>
        </w:rPr>
      </w:pPr>
      <w:r w:rsidRPr="006C1DE3">
        <w:rPr>
          <w:b/>
          <w:bCs/>
        </w:rPr>
        <w:t xml:space="preserve">The first paragraph of Section 5.106.5.3 Electric Vehicle (EV) charging </w:t>
      </w:r>
      <w:r w:rsidRPr="00C01C5B">
        <w:t>is amended to read as follows:</w:t>
      </w:r>
    </w:p>
    <w:p w14:paraId="5ECEBEFF" w14:textId="2ACCB0DC" w:rsidR="007421A9" w:rsidRDefault="007421A9" w:rsidP="007421A9">
      <w:pPr>
        <w:pStyle w:val="NormalWeb"/>
        <w:ind w:left="720"/>
      </w:pPr>
      <w:r w:rsidRPr="006C1DE3">
        <w:rPr>
          <w:b/>
          <w:bCs/>
        </w:rPr>
        <w:t>5.106.5.3 Electric vehicle (EV) charging. [N]</w:t>
      </w:r>
      <w:r w:rsidRPr="006C1DE3">
        <w:t xml:space="preserve"> Construction to provide electric vehicle infrastructure and facilitate electric vehicle charging shall comply with Section</w:t>
      </w:r>
      <w:r>
        <w:t xml:space="preserve"> </w:t>
      </w:r>
      <w:r w:rsidRPr="0030679E">
        <w:rPr>
          <w:u w:val="single"/>
        </w:rPr>
        <w:t xml:space="preserve">A5.106.5.3 (Tier </w:t>
      </w:r>
      <w:r w:rsidR="003E26A9" w:rsidRPr="0030679E">
        <w:rPr>
          <w:u w:val="single"/>
        </w:rPr>
        <w:t>2</w:t>
      </w:r>
      <w:r w:rsidRPr="0030679E">
        <w:rPr>
          <w:u w:val="single"/>
        </w:rPr>
        <w:t>)</w:t>
      </w:r>
      <w:r w:rsidRPr="0030679E">
        <w:rPr>
          <w:strike/>
        </w:rPr>
        <w:t xml:space="preserve"> 5.106.5</w:t>
      </w:r>
      <w:r w:rsidRPr="00C01C5B">
        <w:rPr>
          <w:strike/>
        </w:rPr>
        <w:t>.3.</w:t>
      </w:r>
      <w:r w:rsidRPr="00E556F1">
        <w:rPr>
          <w:strike/>
        </w:rPr>
        <w:t>1</w:t>
      </w:r>
      <w:r w:rsidRPr="00B20614">
        <w:rPr>
          <w:strike/>
        </w:rPr>
        <w:t>,</w:t>
      </w:r>
      <w:r w:rsidRPr="006C1DE3">
        <w:t xml:space="preserve"> and shall be provided in accordance with</w:t>
      </w:r>
      <w:r w:rsidRPr="00200A02">
        <w:t xml:space="preserve"> regulations in the California Building Code and the California Electrical Code.</w:t>
      </w:r>
    </w:p>
    <w:p w14:paraId="59AC8FEC" w14:textId="77777777" w:rsidR="00A83FCB" w:rsidRPr="00DC6928" w:rsidRDefault="00A83FCB" w:rsidP="00A83FCB">
      <w:pPr>
        <w:pStyle w:val="NormalWeb"/>
        <w:rPr>
          <w:b/>
          <w:bCs/>
        </w:rPr>
      </w:pPr>
      <w:r w:rsidRPr="00DC6928">
        <w:rPr>
          <w:b/>
          <w:bCs/>
        </w:rPr>
        <w:t>Exception 2 of Section 5.106.5.3 is amended to read as follows:</w:t>
      </w:r>
    </w:p>
    <w:p w14:paraId="4C1A2E3F" w14:textId="77777777" w:rsidR="00A83FCB" w:rsidRPr="00DC6928" w:rsidRDefault="00A83FCB" w:rsidP="00A83FCB">
      <w:pPr>
        <w:pStyle w:val="NormalWeb"/>
        <w:ind w:left="720"/>
        <w:rPr>
          <w:rStyle w:val="Deletions"/>
        </w:rPr>
      </w:pPr>
      <w:r w:rsidRPr="00DC6928">
        <w:rPr>
          <w:rStyle w:val="Deletions"/>
        </w:rPr>
        <w:t>2. Parking spaces accessible only by automated mechanical car parking systems are not required to comply with this code section.</w:t>
      </w:r>
    </w:p>
    <w:p w14:paraId="5A611697" w14:textId="3AA593B0" w:rsidR="00A83FCB" w:rsidRPr="00A83FCB" w:rsidRDefault="00A83FCB" w:rsidP="00A83FCB">
      <w:pPr>
        <w:pStyle w:val="NormalWeb"/>
        <w:ind w:left="720"/>
        <w:rPr>
          <w:u w:val="single"/>
        </w:rPr>
      </w:pPr>
      <w:r w:rsidRPr="00DC6928">
        <w:rPr>
          <w:rStyle w:val="Additions"/>
        </w:rPr>
        <w:t>2. Areas of parking facilities served by parking lifts, including but not limited to, automated mechanical-access open parking garages as defined in the California Building Code; or parking facilities otherwise incapable of supporting electric vehicle charging.</w:t>
      </w:r>
    </w:p>
    <w:p w14:paraId="3C821DD2" w14:textId="77777777" w:rsidR="007421A9" w:rsidRDefault="007421A9" w:rsidP="007421A9">
      <w:pPr>
        <w:pStyle w:val="NormalWeb"/>
        <w:rPr>
          <w:b/>
          <w:bCs/>
        </w:rPr>
      </w:pPr>
      <w:r>
        <w:rPr>
          <w:b/>
          <w:bCs/>
        </w:rPr>
        <w:t xml:space="preserve">Section </w:t>
      </w:r>
      <w:r w:rsidRPr="00C06366">
        <w:rPr>
          <w:b/>
          <w:bCs/>
        </w:rPr>
        <w:t>5.106.5.3.2 Electric vehicle charging stations (EVCS)</w:t>
      </w:r>
      <w:r>
        <w:rPr>
          <w:b/>
          <w:bCs/>
        </w:rPr>
        <w:t xml:space="preserve"> </w:t>
      </w:r>
      <w:r w:rsidRPr="00C01C5B">
        <w:t>is amended to read as follows:</w:t>
      </w:r>
      <w:r>
        <w:rPr>
          <w:b/>
          <w:bCs/>
        </w:rPr>
        <w:t xml:space="preserve"> </w:t>
      </w:r>
    </w:p>
    <w:p w14:paraId="66BECB51" w14:textId="3063567B" w:rsidR="007421A9" w:rsidRDefault="007421A9" w:rsidP="007421A9">
      <w:pPr>
        <w:pStyle w:val="NormalWeb"/>
        <w:ind w:left="720"/>
        <w:rPr>
          <w:u w:val="single"/>
        </w:rPr>
      </w:pPr>
      <w:r w:rsidRPr="00C06366">
        <w:rPr>
          <w:b/>
          <w:bCs/>
        </w:rPr>
        <w:t xml:space="preserve">5.106.5.3.2 Electric vehicle charging stations (EVCS). </w:t>
      </w:r>
      <w:r w:rsidRPr="00C06366">
        <w:t xml:space="preserve">EV capable spaces shall be provided with </w:t>
      </w:r>
      <w:r w:rsidRPr="00C06366">
        <w:rPr>
          <w:u w:val="single"/>
        </w:rPr>
        <w:t>electric vehicle supply equipment (</w:t>
      </w:r>
      <w:r w:rsidRPr="00C06366">
        <w:t>EVSE</w:t>
      </w:r>
      <w:r w:rsidRPr="00C06366">
        <w:rPr>
          <w:u w:val="single"/>
        </w:rPr>
        <w:t>)</w:t>
      </w:r>
      <w:r w:rsidRPr="00C06366">
        <w:t xml:space="preserve"> to create EVCS in the number </w:t>
      </w:r>
      <w:r w:rsidRPr="00F76557">
        <w:t xml:space="preserve">indicated in </w:t>
      </w:r>
      <w:r w:rsidRPr="00F76557">
        <w:rPr>
          <w:u w:val="single"/>
        </w:rPr>
        <w:t>Section A5.106.5.3</w:t>
      </w:r>
      <w:r w:rsidR="009B256F" w:rsidRPr="00F76557">
        <w:rPr>
          <w:u w:val="single"/>
        </w:rPr>
        <w:t>.3</w:t>
      </w:r>
      <w:r w:rsidRPr="00F76557">
        <w:t xml:space="preserve"> </w:t>
      </w:r>
      <w:r w:rsidRPr="00F76557">
        <w:rPr>
          <w:strike/>
        </w:rPr>
        <w:t>Table 5.106.5.3.1</w:t>
      </w:r>
      <w:r w:rsidRPr="00F76557">
        <w:t xml:space="preserve">. The EVCS required by </w:t>
      </w:r>
      <w:r w:rsidRPr="00F76557">
        <w:rPr>
          <w:u w:val="single"/>
        </w:rPr>
        <w:t>Section A5.106.5.3</w:t>
      </w:r>
      <w:r w:rsidR="009B256F" w:rsidRPr="00F76557">
        <w:rPr>
          <w:u w:val="single"/>
        </w:rPr>
        <w:t>.3</w:t>
      </w:r>
      <w:r w:rsidRPr="00F76557">
        <w:rPr>
          <w:strike/>
        </w:rPr>
        <w:t>Table 5.106.5.3.1 may</w:t>
      </w:r>
      <w:r w:rsidRPr="00F76557">
        <w:t xml:space="preserve"> </w:t>
      </w:r>
      <w:r w:rsidRPr="00F76557">
        <w:rPr>
          <w:u w:val="single"/>
        </w:rPr>
        <w:t>shall</w:t>
      </w:r>
      <w:r w:rsidRPr="00F76557">
        <w:t xml:space="preserve"> be provided with </w:t>
      </w:r>
      <w:r w:rsidRPr="00F76557">
        <w:rPr>
          <w:u w:val="single"/>
        </w:rPr>
        <w:t>Level 2</w:t>
      </w:r>
      <w:r w:rsidRPr="00F76557">
        <w:t xml:space="preserve"> EVSE </w:t>
      </w:r>
      <w:r w:rsidRPr="00F76557">
        <w:rPr>
          <w:u w:val="single"/>
        </w:rPr>
        <w:t>or DCFC as permitted in Section 5.106.</w:t>
      </w:r>
      <w:r w:rsidRPr="00C06366">
        <w:rPr>
          <w:u w:val="single"/>
        </w:rPr>
        <w:t>5.3.2.1.</w:t>
      </w:r>
      <w:r w:rsidRPr="00C06366">
        <w:t xml:space="preserve"> </w:t>
      </w:r>
      <w:r w:rsidRPr="00C06366">
        <w:rPr>
          <w:strike/>
        </w:rPr>
        <w:t>in any combination of Level 2 and Direct Current Fast Charging (DCFC), except that at least one Level 2 EVSE shall be provided.</w:t>
      </w:r>
      <w:r w:rsidRPr="00C06366">
        <w:t xml:space="preserve"> </w:t>
      </w:r>
      <w:r w:rsidRPr="00C06366">
        <w:rPr>
          <w:u w:val="single"/>
        </w:rPr>
        <w:t>At least one Level 2 EVSE shall be provided.</w:t>
      </w:r>
    </w:p>
    <w:p w14:paraId="408ACDF3" w14:textId="77777777" w:rsidR="007421A9" w:rsidRPr="006D5F97" w:rsidRDefault="007421A9" w:rsidP="007421A9">
      <w:pPr>
        <w:ind w:left="720"/>
        <w:rPr>
          <w:rFonts w:cs="Arial"/>
          <w:szCs w:val="24"/>
        </w:rPr>
      </w:pPr>
      <w:r w:rsidRPr="006D5F97">
        <w:rPr>
          <w:rFonts w:cs="Arial"/>
          <w:szCs w:val="24"/>
        </w:rPr>
        <w:t xml:space="preserve">One EV charger with multiple connectors capable of charging multiple EVs simultaneously shall be permitted if the electrical load capacity required by Section </w:t>
      </w:r>
      <w:r w:rsidRPr="00F76557">
        <w:rPr>
          <w:u w:val="single"/>
        </w:rPr>
        <w:t xml:space="preserve">A5.106.5.3 </w:t>
      </w:r>
      <w:r w:rsidRPr="00F76557">
        <w:rPr>
          <w:rFonts w:cs="Arial"/>
          <w:strike/>
          <w:szCs w:val="24"/>
        </w:rPr>
        <w:t>5.106.5</w:t>
      </w:r>
      <w:r w:rsidRPr="00A37130">
        <w:rPr>
          <w:rFonts w:cs="Arial"/>
          <w:strike/>
          <w:szCs w:val="24"/>
        </w:rPr>
        <w:t>.3.1</w:t>
      </w:r>
      <w:r w:rsidRPr="006D5F97">
        <w:rPr>
          <w:rFonts w:cs="Arial"/>
          <w:szCs w:val="24"/>
        </w:rPr>
        <w:t xml:space="preserve"> for each EV capable space is accumulatively supplied to the EV charger.</w:t>
      </w:r>
    </w:p>
    <w:p w14:paraId="280BAFDB" w14:textId="77777777" w:rsidR="007421A9" w:rsidRPr="006D5F97" w:rsidRDefault="007421A9" w:rsidP="007421A9">
      <w:pPr>
        <w:ind w:left="1080"/>
        <w:rPr>
          <w:rFonts w:cs="Arial"/>
          <w:strike/>
          <w:szCs w:val="24"/>
        </w:rPr>
      </w:pPr>
      <w:r w:rsidRPr="006D5F97">
        <w:rPr>
          <w:rFonts w:cs="Arial"/>
          <w:b/>
          <w:bCs/>
          <w:szCs w:val="24"/>
          <w:u w:val="single"/>
        </w:rPr>
        <w:t>5.106.5.3.2.1</w:t>
      </w:r>
      <w:r w:rsidRPr="006D5F97">
        <w:rPr>
          <w:rFonts w:cs="Arial"/>
          <w:szCs w:val="24"/>
        </w:rPr>
        <w:t xml:space="preserve"> The installation of each DCFC EVSE shall be permitted to reduce the minimum number of required EV capable spaces without EVSE </w:t>
      </w:r>
      <w:r w:rsidRPr="006D5F97">
        <w:rPr>
          <w:rFonts w:cs="Arial"/>
          <w:szCs w:val="24"/>
          <w:u w:val="single"/>
        </w:rPr>
        <w:t>or EVCS with Level 2 EVSE</w:t>
      </w:r>
      <w:r w:rsidRPr="006D5F97">
        <w:rPr>
          <w:rFonts w:cs="Arial"/>
          <w:szCs w:val="24"/>
        </w:rPr>
        <w:t xml:space="preserve"> by five and reduce proportionally the required electrical load capacity to the service panel or subpanel.</w:t>
      </w:r>
    </w:p>
    <w:p w14:paraId="63663076" w14:textId="77777777" w:rsidR="007421A9" w:rsidRDefault="007421A9" w:rsidP="007421A9">
      <w:pPr>
        <w:ind w:left="1080"/>
        <w:rPr>
          <w:rFonts w:cs="Arial"/>
          <w:szCs w:val="24"/>
          <w:u w:val="single"/>
        </w:rPr>
      </w:pPr>
      <w:r w:rsidRPr="006D5F97">
        <w:rPr>
          <w:rFonts w:cs="Arial"/>
          <w:b/>
          <w:bCs/>
          <w:szCs w:val="24"/>
          <w:u w:val="single"/>
        </w:rPr>
        <w:t>5.106.5.3.2.2</w:t>
      </w:r>
      <w:r w:rsidRPr="006D5F97">
        <w:rPr>
          <w:rFonts w:cs="Arial"/>
          <w:szCs w:val="24"/>
          <w:u w:val="single"/>
        </w:rPr>
        <w:t xml:space="preserve"> The installation of two Low Power Level 2 EV charging receptacles shall be </w:t>
      </w:r>
      <w:r w:rsidRPr="00F76557">
        <w:rPr>
          <w:rFonts w:cs="Arial"/>
          <w:szCs w:val="24"/>
          <w:u w:val="single"/>
        </w:rPr>
        <w:t xml:space="preserve">permitted to reduce the minimum number of required EV capable spaces without EVSE in </w:t>
      </w:r>
      <w:r w:rsidRPr="00F76557">
        <w:rPr>
          <w:u w:val="single"/>
        </w:rPr>
        <w:t xml:space="preserve">Section A5.106.3 </w:t>
      </w:r>
      <w:r w:rsidRPr="00F76557">
        <w:rPr>
          <w:rFonts w:cs="Arial"/>
          <w:szCs w:val="24"/>
          <w:u w:val="single"/>
        </w:rPr>
        <w:t>by one.</w:t>
      </w:r>
    </w:p>
    <w:p w14:paraId="4B27C096" w14:textId="553729FB" w:rsidR="00B562FA" w:rsidRPr="00B562FA" w:rsidRDefault="00040860" w:rsidP="00B562FA">
      <w:pPr>
        <w:ind w:left="1080"/>
        <w:rPr>
          <w:u w:val="single"/>
        </w:rPr>
      </w:pPr>
      <w:r w:rsidRPr="00DC6928">
        <w:rPr>
          <w:rStyle w:val="Instructions"/>
        </w:rPr>
        <w:t>[Optional]</w:t>
      </w:r>
      <w:r w:rsidRPr="00DC6928">
        <w:rPr>
          <w:rStyle w:val="Additions"/>
          <w:b/>
          <w:bCs/>
        </w:rPr>
        <w:t xml:space="preserve"> </w:t>
      </w:r>
      <w:r w:rsidR="00B562FA" w:rsidRPr="00DC6928">
        <w:rPr>
          <w:rStyle w:val="Additions"/>
          <w:b/>
          <w:bCs/>
        </w:rPr>
        <w:t>5.106.5.3.2.3</w:t>
      </w:r>
      <w:r w:rsidR="00B562FA" w:rsidRPr="00DC6928">
        <w:rPr>
          <w:rStyle w:val="Additions"/>
        </w:rPr>
        <w:t xml:space="preserve"> Raceway Capacity Requirements. To allow for future upgrades to the electrical conductors serving low power Level 2 charging receptacles, the listed raceway serving such receptacles shall be sized to allow the installation of a dedicated 208/240-volt 40-ampere branch circuit. Where no raceway is used, the conductors shall be sized to accommodate a 208/240-volt 40-ampere receptacle.</w:t>
      </w:r>
    </w:p>
    <w:p w14:paraId="625DF8C8" w14:textId="77777777" w:rsidR="007421A9" w:rsidRDefault="007421A9" w:rsidP="007421A9">
      <w:pPr>
        <w:spacing w:line="259" w:lineRule="auto"/>
        <w:rPr>
          <w:rStyle w:val="StyleBold"/>
          <w:rFonts w:eastAsia="Arial Unicode MS"/>
        </w:rPr>
      </w:pPr>
    </w:p>
    <w:p w14:paraId="4A1DE94C" w14:textId="77777777" w:rsidR="007421A9" w:rsidRDefault="007421A9" w:rsidP="007421A9">
      <w:pPr>
        <w:spacing w:line="259" w:lineRule="auto"/>
        <w:rPr>
          <w:rStyle w:val="StyleBold"/>
          <w:rFonts w:eastAsia="Arial Unicode MS"/>
        </w:rPr>
      </w:pPr>
      <w:r>
        <w:rPr>
          <w:rStyle w:val="StyleBold"/>
          <w:rFonts w:eastAsia="Arial Unicode MS"/>
        </w:rPr>
        <w:t xml:space="preserve">Section </w:t>
      </w:r>
      <w:r w:rsidRPr="008A0CEA">
        <w:rPr>
          <w:rStyle w:val="StyleBold"/>
          <w:rFonts w:eastAsia="Arial Unicode MS"/>
        </w:rPr>
        <w:t>5.106.5.3.4</w:t>
      </w:r>
      <w:r w:rsidRPr="006D5F97">
        <w:rPr>
          <w:rFonts w:cs="Arial"/>
          <w:szCs w:val="24"/>
        </w:rPr>
        <w:t xml:space="preserve"> </w:t>
      </w:r>
      <w:r w:rsidRPr="008A0CEA">
        <w:rPr>
          <w:rStyle w:val="StyleBold"/>
          <w:rFonts w:eastAsia="Arial Unicode MS"/>
        </w:rPr>
        <w:t>Accessible EVCS</w:t>
      </w:r>
      <w:r w:rsidRPr="00A37130">
        <w:rPr>
          <w:rFonts w:cs="Arial"/>
          <w:b/>
          <w:bCs/>
          <w:szCs w:val="24"/>
        </w:rPr>
        <w:t xml:space="preserve"> </w:t>
      </w:r>
      <w:r w:rsidRPr="00A37130">
        <w:rPr>
          <w:rFonts w:cs="Arial"/>
          <w:szCs w:val="24"/>
        </w:rPr>
        <w:t>is amended to read as follows:</w:t>
      </w:r>
    </w:p>
    <w:p w14:paraId="788BDDE0" w14:textId="77777777" w:rsidR="007421A9" w:rsidRPr="006D5F97" w:rsidRDefault="007421A9" w:rsidP="007421A9">
      <w:pPr>
        <w:spacing w:line="259" w:lineRule="auto"/>
        <w:ind w:left="720"/>
        <w:rPr>
          <w:rFonts w:cs="Arial"/>
          <w:i/>
          <w:iCs/>
          <w:szCs w:val="24"/>
        </w:rPr>
      </w:pPr>
      <w:r w:rsidRPr="008A0CEA">
        <w:rPr>
          <w:rStyle w:val="StyleBold"/>
          <w:rFonts w:eastAsia="Arial Unicode MS"/>
        </w:rPr>
        <w:t>5.106.5.3.4</w:t>
      </w:r>
      <w:r w:rsidRPr="006D5F97">
        <w:rPr>
          <w:rFonts w:cs="Arial"/>
          <w:szCs w:val="24"/>
        </w:rPr>
        <w:t xml:space="preserve"> </w:t>
      </w:r>
      <w:r w:rsidRPr="008A0CEA">
        <w:rPr>
          <w:rStyle w:val="StyleBold"/>
          <w:rFonts w:eastAsia="Arial Unicode MS"/>
        </w:rPr>
        <w:t xml:space="preserve">Accessible </w:t>
      </w:r>
      <w:r w:rsidRPr="006D5F97">
        <w:rPr>
          <w:rFonts w:cs="Arial"/>
          <w:b/>
          <w:bCs/>
          <w:szCs w:val="24"/>
          <w:u w:val="single"/>
        </w:rPr>
        <w:t xml:space="preserve">electric vehicle charging </w:t>
      </w:r>
      <w:r w:rsidRPr="00BF6952">
        <w:rPr>
          <w:rFonts w:cs="Arial"/>
          <w:b/>
          <w:bCs/>
          <w:szCs w:val="24"/>
          <w:u w:val="single"/>
        </w:rPr>
        <w:t>station</w:t>
      </w:r>
      <w:r w:rsidRPr="008A0CEA">
        <w:rPr>
          <w:rStyle w:val="StyleBold"/>
          <w:rFonts w:eastAsia="Arial Unicode MS"/>
        </w:rPr>
        <w:t xml:space="preserve"> </w:t>
      </w:r>
      <w:r w:rsidRPr="00BF6952">
        <w:rPr>
          <w:rFonts w:cs="Arial"/>
          <w:b/>
          <w:bCs/>
          <w:szCs w:val="24"/>
          <w:u w:val="single"/>
        </w:rPr>
        <w:t>(</w:t>
      </w:r>
      <w:r w:rsidRPr="008A0CEA">
        <w:rPr>
          <w:rStyle w:val="StyleBold"/>
          <w:rFonts w:eastAsia="Arial Unicode MS"/>
        </w:rPr>
        <w:t>EVCS</w:t>
      </w:r>
      <w:r w:rsidRPr="00BF6952">
        <w:rPr>
          <w:rFonts w:cs="Arial"/>
          <w:b/>
          <w:bCs/>
          <w:szCs w:val="24"/>
          <w:u w:val="single"/>
        </w:rPr>
        <w:t>)</w:t>
      </w:r>
      <w:r w:rsidRPr="00BF6952">
        <w:rPr>
          <w:rFonts w:cs="Arial"/>
          <w:szCs w:val="24"/>
        </w:rPr>
        <w:t>.</w:t>
      </w:r>
      <w:r w:rsidRPr="006D5F97">
        <w:rPr>
          <w:rFonts w:cs="Arial"/>
          <w:szCs w:val="24"/>
        </w:rPr>
        <w:t xml:space="preserve"> </w:t>
      </w:r>
      <w:r w:rsidRPr="006D5F97">
        <w:rPr>
          <w:rFonts w:cs="Arial"/>
          <w:noProof/>
          <w:szCs w:val="24"/>
        </w:rPr>
        <w:t>When EVSE is installed, accessible EVCS shall be provided in accordance with the California Building Code Chapter 11B Section 11B-228.3.</w:t>
      </w:r>
    </w:p>
    <w:p w14:paraId="28CBCF57" w14:textId="77777777" w:rsidR="007421A9" w:rsidRPr="006D5F97" w:rsidRDefault="007421A9" w:rsidP="007421A9">
      <w:pPr>
        <w:spacing w:after="160" w:line="259" w:lineRule="auto"/>
        <w:ind w:left="720"/>
        <w:rPr>
          <w:rFonts w:cs="Arial"/>
          <w:b/>
          <w:bCs/>
          <w:strike/>
          <w:szCs w:val="24"/>
        </w:rPr>
      </w:pPr>
      <w:r w:rsidRPr="006D5F97">
        <w:rPr>
          <w:rFonts w:cs="Arial"/>
          <w:b/>
          <w:bCs/>
          <w:strike/>
          <w:szCs w:val="24"/>
        </w:rPr>
        <w:t xml:space="preserve">Note: </w:t>
      </w:r>
      <w:r w:rsidRPr="006D5F97">
        <w:rPr>
          <w:rFonts w:cs="Arial"/>
          <w:strike/>
          <w:szCs w:val="24"/>
        </w:rPr>
        <w:t>For EVCS signs,</w:t>
      </w:r>
      <w:r w:rsidRPr="006D5F97">
        <w:rPr>
          <w:rFonts w:cs="Arial"/>
          <w:b/>
          <w:bCs/>
          <w:strike/>
          <w:szCs w:val="24"/>
        </w:rPr>
        <w:t xml:space="preserve"> </w:t>
      </w:r>
      <w:r w:rsidRPr="006D5F97">
        <w:rPr>
          <w:rFonts w:cs="Arial"/>
          <w:strike/>
          <w:szCs w:val="24"/>
        </w:rPr>
        <w:t xml:space="preserve">refer to </w:t>
      </w:r>
      <w:r w:rsidRPr="006D5F97">
        <w:rPr>
          <w:rFonts w:eastAsia="Batang" w:cs="Arial"/>
          <w:strike/>
          <w:szCs w:val="24"/>
        </w:rPr>
        <w:t>Caltrans Traffic Operations Policy Directive 13-01 (Zero Emission Vehicle Signs and Pavement Markings) or its successor(s)</w:t>
      </w:r>
    </w:p>
    <w:p w14:paraId="2DDE04EA" w14:textId="77777777" w:rsidR="007421A9" w:rsidRPr="00A37130" w:rsidRDefault="007421A9" w:rsidP="007421A9">
      <w:pPr>
        <w:spacing w:line="259" w:lineRule="auto"/>
        <w:rPr>
          <w:b/>
          <w:bCs/>
        </w:rPr>
      </w:pPr>
      <w:r>
        <w:rPr>
          <w:rStyle w:val="StyleBold"/>
          <w:rFonts w:eastAsia="Arial Unicode MS"/>
        </w:rPr>
        <w:t xml:space="preserve">Section </w:t>
      </w:r>
      <w:r w:rsidRPr="00A37130">
        <w:rPr>
          <w:rFonts w:cs="Arial"/>
          <w:b/>
          <w:bCs/>
          <w:szCs w:val="24"/>
        </w:rPr>
        <w:t>5.106.5.3.5 Electric vehicle charging station signage</w:t>
      </w:r>
      <w:r w:rsidRPr="00A37130">
        <w:rPr>
          <w:rFonts w:cs="Arial"/>
          <w:szCs w:val="24"/>
        </w:rPr>
        <w:t xml:space="preserve"> is </w:t>
      </w:r>
      <w:r>
        <w:rPr>
          <w:rFonts w:cs="Arial"/>
          <w:szCs w:val="24"/>
        </w:rPr>
        <w:t>added</w:t>
      </w:r>
      <w:r w:rsidRPr="00A37130">
        <w:rPr>
          <w:rFonts w:cs="Arial"/>
          <w:szCs w:val="24"/>
        </w:rPr>
        <w:t xml:space="preserve"> to read as follows:</w:t>
      </w:r>
    </w:p>
    <w:p w14:paraId="396F4359" w14:textId="08108808" w:rsidR="007421A9" w:rsidRDefault="007421A9" w:rsidP="007421A9">
      <w:pPr>
        <w:spacing w:after="160" w:line="259" w:lineRule="auto"/>
        <w:ind w:left="720"/>
        <w:rPr>
          <w:rFonts w:eastAsia="Batang" w:cs="Arial"/>
          <w:szCs w:val="24"/>
          <w:u w:val="single"/>
        </w:rPr>
      </w:pPr>
      <w:r w:rsidRPr="006D5F97">
        <w:rPr>
          <w:rFonts w:cs="Arial"/>
          <w:b/>
          <w:bCs/>
          <w:szCs w:val="24"/>
          <w:u w:val="single"/>
        </w:rPr>
        <w:t>5.106.5.3.5 Electric vehicle charging station signage.</w:t>
      </w:r>
      <w:r w:rsidR="00F448ED">
        <w:rPr>
          <w:rFonts w:cs="Arial"/>
          <w:b/>
          <w:bCs/>
          <w:szCs w:val="24"/>
          <w:u w:val="single"/>
        </w:rPr>
        <w:t xml:space="preserve"> </w:t>
      </w:r>
      <w:r w:rsidRPr="006D5F97">
        <w:rPr>
          <w:rFonts w:cs="Arial"/>
          <w:szCs w:val="24"/>
          <w:u w:val="single"/>
        </w:rPr>
        <w:t>Electric vehicle charging stations shall be identified by signage or pavement markings in compliance with</w:t>
      </w:r>
      <w:r w:rsidRPr="006D5F97">
        <w:rPr>
          <w:rFonts w:cs="Arial"/>
          <w:b/>
          <w:bCs/>
          <w:szCs w:val="24"/>
          <w:u w:val="single"/>
        </w:rPr>
        <w:t xml:space="preserve"> </w:t>
      </w:r>
      <w:r w:rsidRPr="006D5F97">
        <w:rPr>
          <w:rFonts w:eastAsia="Batang" w:cs="Arial"/>
          <w:szCs w:val="24"/>
          <w:u w:val="single"/>
        </w:rPr>
        <w:t>Caltrans Traffic Operations Policy Directive 13-01 (Zero Emission Vehicle Signs and Pavement Markings) or its successor(s).</w:t>
      </w:r>
    </w:p>
    <w:p w14:paraId="7C778BF7" w14:textId="77777777" w:rsidR="007421A9" w:rsidRDefault="007421A9" w:rsidP="007421A9">
      <w:pPr>
        <w:textAlignment w:val="baseline"/>
        <w:rPr>
          <w:b/>
          <w:bCs/>
          <w:highlight w:val="yellow"/>
        </w:rPr>
      </w:pPr>
    </w:p>
    <w:p w14:paraId="11416C62" w14:textId="77777777" w:rsidR="007421A9" w:rsidRPr="00A37130" w:rsidRDefault="007421A9" w:rsidP="007421A9">
      <w:pPr>
        <w:textAlignment w:val="baseline"/>
      </w:pPr>
      <w:r w:rsidRPr="00A37130">
        <w:rPr>
          <w:b/>
          <w:bCs/>
        </w:rPr>
        <w:t>Section 5.106.5.4 Electric vehicle (EV) charging: medium-duty and heavy-duty</w:t>
      </w:r>
      <w:r w:rsidRPr="00A37130">
        <w:t xml:space="preserve"> is renumbered as Section 5.106.5.5 and amended to read as specified below.</w:t>
      </w:r>
    </w:p>
    <w:p w14:paraId="15E7A393" w14:textId="77777777" w:rsidR="007421A9" w:rsidRPr="00A37130" w:rsidRDefault="007421A9" w:rsidP="007421A9">
      <w:pPr>
        <w:textAlignment w:val="baseline"/>
      </w:pPr>
    </w:p>
    <w:p w14:paraId="727B0C2D" w14:textId="77777777" w:rsidR="007421A9" w:rsidRDefault="007421A9" w:rsidP="007421A9">
      <w:pPr>
        <w:textAlignment w:val="baseline"/>
      </w:pPr>
      <w:r w:rsidRPr="00A37130">
        <w:rPr>
          <w:b/>
          <w:bCs/>
        </w:rPr>
        <w:t>A new Section 5.106.5.4 Additions or Alterations to existing buildings or parking facilities</w:t>
      </w:r>
      <w:r w:rsidRPr="00A37130">
        <w:t xml:space="preserve"> is a</w:t>
      </w:r>
      <w:r>
        <w:t>dded</w:t>
      </w:r>
      <w:r w:rsidRPr="00A37130">
        <w:t xml:space="preserve"> to read as follows:</w:t>
      </w:r>
    </w:p>
    <w:p w14:paraId="758F0904" w14:textId="77777777" w:rsidR="007421A9" w:rsidRPr="00A37130" w:rsidRDefault="007421A9" w:rsidP="007421A9">
      <w:pPr>
        <w:textAlignment w:val="baseline"/>
      </w:pPr>
    </w:p>
    <w:p w14:paraId="0B59C33C" w14:textId="77777777" w:rsidR="007421A9" w:rsidRPr="00A058A2" w:rsidRDefault="007421A9" w:rsidP="007421A9">
      <w:pPr>
        <w:ind w:left="360"/>
        <w:rPr>
          <w:rFonts w:eastAsia="Batang"/>
          <w:strike/>
          <w:szCs w:val="24"/>
          <w:u w:val="single"/>
        </w:rPr>
      </w:pPr>
      <w:r w:rsidRPr="00A058A2">
        <w:rPr>
          <w:b/>
          <w:bCs/>
          <w:szCs w:val="24"/>
          <w:u w:val="single"/>
        </w:rPr>
        <w:t xml:space="preserve">5.106.5.4 Additions or Alterations to existing buildings or parking facilities [A]. [BSC-CG] </w:t>
      </w:r>
      <w:r w:rsidRPr="00A058A2">
        <w:rPr>
          <w:szCs w:val="24"/>
          <w:u w:val="single"/>
        </w:rPr>
        <w:t>Existing</w:t>
      </w:r>
      <w:r w:rsidRPr="00A058A2">
        <w:rPr>
          <w:b/>
          <w:bCs/>
          <w:szCs w:val="24"/>
          <w:u w:val="single"/>
        </w:rPr>
        <w:t xml:space="preserve"> </w:t>
      </w:r>
      <w:r w:rsidRPr="00A058A2">
        <w:rPr>
          <w:szCs w:val="24"/>
          <w:u w:val="single"/>
        </w:rPr>
        <w:t>buildings or parking facilities being modified by one of the following, shall comply with Section 5.106.5.4.1 or 5.106.5.4.</w:t>
      </w:r>
      <w:r w:rsidRPr="00FE472B">
        <w:rPr>
          <w:szCs w:val="24"/>
          <w:u w:val="single"/>
        </w:rPr>
        <w:t>2</w:t>
      </w:r>
      <w:r w:rsidRPr="00C01C5B">
        <w:rPr>
          <w:szCs w:val="24"/>
          <w:u w:val="single"/>
        </w:rPr>
        <w:t xml:space="preserve">. </w:t>
      </w:r>
      <w:r w:rsidRPr="00FE472B">
        <w:rPr>
          <w:rFonts w:eastAsia="TimesNewRoman--Identity-H"/>
          <w:szCs w:val="24"/>
          <w:u w:val="single"/>
        </w:rPr>
        <w:t>When</w:t>
      </w:r>
      <w:r w:rsidRPr="00A058A2">
        <w:rPr>
          <w:rFonts w:eastAsia="TimesNewRoman--Identity-H"/>
          <w:szCs w:val="24"/>
          <w:u w:val="single"/>
        </w:rPr>
        <w:t xml:space="preserve"> EVSE is installed, accessible EVCS shall be provided in accordance with the California Building Code, Chapter 11B, Section 11B-228.3.</w:t>
      </w:r>
    </w:p>
    <w:p w14:paraId="0DA3941D" w14:textId="77777777" w:rsidR="007421A9" w:rsidRPr="00A058A2" w:rsidRDefault="007421A9" w:rsidP="00AB5EC9">
      <w:pPr>
        <w:numPr>
          <w:ilvl w:val="0"/>
          <w:numId w:val="19"/>
        </w:numPr>
        <w:autoSpaceDE w:val="0"/>
        <w:autoSpaceDN w:val="0"/>
        <w:adjustRightInd w:val="0"/>
        <w:spacing w:before="100" w:beforeAutospacing="1"/>
        <w:ind w:hanging="360"/>
        <w:rPr>
          <w:rFonts w:eastAsia="Batang"/>
          <w:szCs w:val="24"/>
          <w:u w:val="single"/>
        </w:rPr>
      </w:pPr>
      <w:r w:rsidRPr="00A058A2">
        <w:rPr>
          <w:rFonts w:eastAsia="Batang"/>
          <w:szCs w:val="24"/>
          <w:u w:val="single"/>
        </w:rPr>
        <w:t>When the scope of construction work includes an increase in power supply to an electric service panel as part of a parking facility addition or alteration.</w:t>
      </w:r>
    </w:p>
    <w:p w14:paraId="5775E2AB" w14:textId="77777777" w:rsidR="007421A9" w:rsidRPr="00A058A2" w:rsidRDefault="007421A9" w:rsidP="00AB5EC9">
      <w:pPr>
        <w:numPr>
          <w:ilvl w:val="0"/>
          <w:numId w:val="19"/>
        </w:numPr>
        <w:autoSpaceDE w:val="0"/>
        <w:autoSpaceDN w:val="0"/>
        <w:adjustRightInd w:val="0"/>
        <w:spacing w:before="100" w:beforeAutospacing="1"/>
        <w:ind w:left="994" w:hanging="274"/>
        <w:rPr>
          <w:rFonts w:eastAsia="Batang"/>
          <w:szCs w:val="24"/>
          <w:u w:val="single"/>
        </w:rPr>
      </w:pPr>
      <w:r w:rsidRPr="00A058A2">
        <w:rPr>
          <w:rFonts w:eastAsia="Batang"/>
          <w:szCs w:val="24"/>
          <w:u w:val="single"/>
        </w:rPr>
        <w:t>When a new photovoltaic system is installed covering existing parking spaces.</w:t>
      </w:r>
    </w:p>
    <w:p w14:paraId="6085948F" w14:textId="77777777" w:rsidR="007421A9" w:rsidRPr="00A058A2" w:rsidRDefault="007421A9" w:rsidP="00AB5EC9">
      <w:pPr>
        <w:numPr>
          <w:ilvl w:val="0"/>
          <w:numId w:val="19"/>
        </w:numPr>
        <w:autoSpaceDE w:val="0"/>
        <w:autoSpaceDN w:val="0"/>
        <w:adjustRightInd w:val="0"/>
        <w:spacing w:before="100" w:beforeAutospacing="1"/>
        <w:ind w:left="994" w:hanging="274"/>
        <w:rPr>
          <w:rFonts w:eastAsia="Batang"/>
          <w:szCs w:val="24"/>
          <w:u w:val="single"/>
        </w:rPr>
      </w:pPr>
      <w:r w:rsidRPr="00A058A2">
        <w:rPr>
          <w:rFonts w:eastAsia="Batang"/>
          <w:szCs w:val="24"/>
          <w:u w:val="single"/>
        </w:rPr>
        <w:t>When additions or alterations to existing buildings are triggered pursuant to code Section 301.3 and the scope of work includes an increase in power supply to an electric service panel.</w:t>
      </w:r>
    </w:p>
    <w:p w14:paraId="7FA11500" w14:textId="77777777" w:rsidR="007421A9" w:rsidRPr="00A058A2" w:rsidRDefault="007421A9" w:rsidP="007421A9">
      <w:pPr>
        <w:autoSpaceDE w:val="0"/>
        <w:autoSpaceDN w:val="0"/>
        <w:adjustRightInd w:val="0"/>
        <w:ind w:left="720"/>
        <w:rPr>
          <w:b/>
          <w:bCs/>
          <w:szCs w:val="24"/>
          <w:u w:val="single"/>
        </w:rPr>
      </w:pPr>
      <w:r w:rsidRPr="00A058A2">
        <w:rPr>
          <w:b/>
          <w:bCs/>
          <w:szCs w:val="24"/>
          <w:u w:val="single"/>
        </w:rPr>
        <w:t>Exceptions:</w:t>
      </w:r>
    </w:p>
    <w:p w14:paraId="61AFA625" w14:textId="77777777" w:rsidR="007421A9" w:rsidRPr="00A058A2" w:rsidRDefault="007421A9" w:rsidP="00AC4F6A">
      <w:pPr>
        <w:numPr>
          <w:ilvl w:val="0"/>
          <w:numId w:val="21"/>
        </w:numPr>
        <w:autoSpaceDE w:val="0"/>
        <w:autoSpaceDN w:val="0"/>
        <w:adjustRightInd w:val="0"/>
        <w:spacing w:before="100" w:beforeAutospacing="1"/>
        <w:ind w:left="1800"/>
        <w:contextualSpacing/>
        <w:rPr>
          <w:rFonts w:eastAsia="Batang"/>
          <w:szCs w:val="24"/>
          <w:u w:val="single"/>
        </w:rPr>
      </w:pPr>
      <w:r w:rsidRPr="00A058A2">
        <w:rPr>
          <w:rFonts w:eastAsia="Batang"/>
          <w:szCs w:val="24"/>
          <w:u w:val="single"/>
        </w:rPr>
        <w:t>On a case-by-case basis where the local enforcing agency has determined compliance with this section is not feasible based upon one of the following conditions:</w:t>
      </w:r>
    </w:p>
    <w:p w14:paraId="2A85D11B" w14:textId="77777777" w:rsidR="007421A9" w:rsidRPr="00A058A2" w:rsidRDefault="007421A9" w:rsidP="00AB5EC9">
      <w:pPr>
        <w:numPr>
          <w:ilvl w:val="0"/>
          <w:numId w:val="20"/>
        </w:numPr>
        <w:autoSpaceDE w:val="0"/>
        <w:autoSpaceDN w:val="0"/>
        <w:adjustRightInd w:val="0"/>
        <w:spacing w:before="100" w:beforeAutospacing="1"/>
        <w:ind w:left="2160"/>
        <w:rPr>
          <w:rFonts w:eastAsia="Batang"/>
          <w:szCs w:val="24"/>
          <w:u w:val="single"/>
        </w:rPr>
      </w:pPr>
      <w:r w:rsidRPr="00A058A2">
        <w:rPr>
          <w:rFonts w:eastAsia="Batang"/>
          <w:szCs w:val="24"/>
          <w:u w:val="single"/>
        </w:rPr>
        <w:t>Where there is no local utility power supply.</w:t>
      </w:r>
    </w:p>
    <w:p w14:paraId="6AB3AF5B" w14:textId="77777777" w:rsidR="007421A9" w:rsidRPr="00A058A2" w:rsidRDefault="007421A9" w:rsidP="00AB5EC9">
      <w:pPr>
        <w:numPr>
          <w:ilvl w:val="0"/>
          <w:numId w:val="20"/>
        </w:numPr>
        <w:autoSpaceDE w:val="0"/>
        <w:autoSpaceDN w:val="0"/>
        <w:adjustRightInd w:val="0"/>
        <w:spacing w:before="100" w:beforeAutospacing="1"/>
        <w:ind w:left="2160"/>
        <w:contextualSpacing/>
        <w:rPr>
          <w:rFonts w:eastAsia="Batang"/>
          <w:szCs w:val="24"/>
          <w:u w:val="single"/>
        </w:rPr>
      </w:pPr>
      <w:r w:rsidRPr="00A058A2">
        <w:rPr>
          <w:rFonts w:eastAsia="Batang"/>
          <w:szCs w:val="24"/>
          <w:u w:val="single"/>
        </w:rPr>
        <w:t>Where the local utility is unable to supply adequate power.</w:t>
      </w:r>
    </w:p>
    <w:p w14:paraId="0A5B18E5" w14:textId="77777777" w:rsidR="007421A9" w:rsidRPr="00A058A2" w:rsidRDefault="007421A9" w:rsidP="00AB5EC9">
      <w:pPr>
        <w:numPr>
          <w:ilvl w:val="0"/>
          <w:numId w:val="20"/>
        </w:numPr>
        <w:autoSpaceDE w:val="0"/>
        <w:autoSpaceDN w:val="0"/>
        <w:adjustRightInd w:val="0"/>
        <w:spacing w:before="100" w:beforeAutospacing="1"/>
        <w:ind w:left="2160"/>
        <w:rPr>
          <w:rFonts w:eastAsia="Batang"/>
          <w:szCs w:val="24"/>
          <w:u w:val="single"/>
        </w:rPr>
      </w:pPr>
      <w:r w:rsidRPr="00A058A2">
        <w:rPr>
          <w:rFonts w:eastAsia="Batang"/>
          <w:szCs w:val="24"/>
          <w:u w:val="single"/>
        </w:rPr>
        <w:t>Where there is evidence suitable to the local enforcement agency substantiating that additional local utility infrastructure design requirements, directly related to the implementation of Section 5.106.5.3, may adversely impact the construction cost of the project.</w:t>
      </w:r>
    </w:p>
    <w:p w14:paraId="63D6ACB5" w14:textId="77777777" w:rsidR="007421A9" w:rsidRPr="00A058A2" w:rsidRDefault="007421A9" w:rsidP="00AB5EC9">
      <w:pPr>
        <w:numPr>
          <w:ilvl w:val="0"/>
          <w:numId w:val="20"/>
        </w:numPr>
        <w:autoSpaceDE w:val="0"/>
        <w:autoSpaceDN w:val="0"/>
        <w:adjustRightInd w:val="0"/>
        <w:spacing w:before="100" w:beforeAutospacing="1"/>
        <w:ind w:left="2160"/>
        <w:contextualSpacing/>
        <w:rPr>
          <w:rFonts w:eastAsia="Batang"/>
          <w:szCs w:val="24"/>
          <w:u w:val="single"/>
        </w:rPr>
      </w:pPr>
      <w:r w:rsidRPr="00A058A2">
        <w:rPr>
          <w:rFonts w:eastAsia="Batang"/>
          <w:szCs w:val="24"/>
          <w:u w:val="single"/>
        </w:rPr>
        <w:t>Where demonstrated as impracticable excluding local utility service or utility infrastructure issues.</w:t>
      </w:r>
    </w:p>
    <w:p w14:paraId="3DAC7957" w14:textId="77777777" w:rsidR="007421A9" w:rsidRPr="00A058A2" w:rsidRDefault="007421A9" w:rsidP="00AC4F6A">
      <w:pPr>
        <w:numPr>
          <w:ilvl w:val="0"/>
          <w:numId w:val="21"/>
        </w:numPr>
        <w:autoSpaceDE w:val="0"/>
        <w:autoSpaceDN w:val="0"/>
        <w:adjustRightInd w:val="0"/>
        <w:spacing w:before="100" w:beforeAutospacing="1"/>
        <w:ind w:left="1800"/>
        <w:rPr>
          <w:rFonts w:eastAsia="Batang"/>
          <w:szCs w:val="24"/>
          <w:u w:val="single"/>
        </w:rPr>
      </w:pPr>
      <w:r w:rsidRPr="00A058A2">
        <w:rPr>
          <w:rFonts w:eastAsia="Batang"/>
          <w:szCs w:val="24"/>
          <w:u w:val="single"/>
        </w:rPr>
        <w:t>Remote parking facilities that do not have access to the building service panel.</w:t>
      </w:r>
    </w:p>
    <w:p w14:paraId="1CB7D36D" w14:textId="77777777" w:rsidR="007421A9" w:rsidRPr="00A058A2" w:rsidRDefault="007421A9" w:rsidP="00AC4F6A">
      <w:pPr>
        <w:numPr>
          <w:ilvl w:val="0"/>
          <w:numId w:val="21"/>
        </w:numPr>
        <w:autoSpaceDE w:val="0"/>
        <w:autoSpaceDN w:val="0"/>
        <w:adjustRightInd w:val="0"/>
        <w:spacing w:before="100" w:beforeAutospacing="1"/>
        <w:ind w:left="1800"/>
        <w:contextualSpacing/>
        <w:rPr>
          <w:rFonts w:eastAsia="Batang"/>
          <w:szCs w:val="24"/>
          <w:u w:val="single"/>
        </w:rPr>
      </w:pPr>
      <w:r w:rsidRPr="00A058A2">
        <w:rPr>
          <w:rFonts w:eastAsia="Batang"/>
          <w:szCs w:val="24"/>
          <w:u w:val="single"/>
        </w:rPr>
        <w:t>Parking area lighting upgrades where no trenching is part of the scope of work.</w:t>
      </w:r>
    </w:p>
    <w:p w14:paraId="5336C7C0" w14:textId="77777777" w:rsidR="007421A9" w:rsidRPr="00A058A2" w:rsidRDefault="007421A9" w:rsidP="00AC4F6A">
      <w:pPr>
        <w:numPr>
          <w:ilvl w:val="0"/>
          <w:numId w:val="21"/>
        </w:numPr>
        <w:autoSpaceDE w:val="0"/>
        <w:autoSpaceDN w:val="0"/>
        <w:adjustRightInd w:val="0"/>
        <w:spacing w:before="100" w:beforeAutospacing="1"/>
        <w:ind w:left="1800"/>
        <w:contextualSpacing/>
        <w:rPr>
          <w:rFonts w:eastAsia="Batang"/>
          <w:szCs w:val="24"/>
          <w:u w:val="single"/>
        </w:rPr>
      </w:pPr>
      <w:r w:rsidRPr="00A058A2">
        <w:rPr>
          <w:rFonts w:eastAsia="Batang"/>
          <w:szCs w:val="24"/>
          <w:u w:val="single"/>
        </w:rPr>
        <w:t>Emergency repairs including but not limited to, water line break in parking facilities, natural disaster repairs, etc.</w:t>
      </w:r>
    </w:p>
    <w:p w14:paraId="7799F1B4" w14:textId="77777777" w:rsidR="007421A9" w:rsidRPr="00A058A2" w:rsidRDefault="007421A9" w:rsidP="007421A9">
      <w:pPr>
        <w:ind w:left="540"/>
        <w:contextualSpacing/>
        <w:rPr>
          <w:b/>
          <w:bCs/>
          <w:szCs w:val="24"/>
          <w:u w:val="single"/>
        </w:rPr>
      </w:pPr>
    </w:p>
    <w:p w14:paraId="67DA883D" w14:textId="77777777" w:rsidR="007421A9" w:rsidRPr="00A058A2" w:rsidRDefault="007421A9" w:rsidP="007421A9">
      <w:pPr>
        <w:ind w:left="547"/>
        <w:rPr>
          <w:szCs w:val="24"/>
          <w:u w:val="single"/>
        </w:rPr>
      </w:pPr>
      <w:r w:rsidRPr="00A058A2">
        <w:rPr>
          <w:b/>
          <w:bCs/>
          <w:szCs w:val="24"/>
          <w:u w:val="single"/>
        </w:rPr>
        <w:t>5.106.5.4.1 Existing buildings or parking areas without previously installed EV capable infrastructure [A].</w:t>
      </w:r>
      <w:r w:rsidRPr="00A058A2">
        <w:rPr>
          <w:u w:val="single"/>
        </w:rPr>
        <w:t xml:space="preserve"> </w:t>
      </w:r>
      <w:r w:rsidRPr="00A058A2">
        <w:rPr>
          <w:szCs w:val="24"/>
          <w:u w:val="single"/>
        </w:rPr>
        <w:t>When EV capable infrastructure does not exist at an existing parking facility or building, and the parking facility or building undergoes an addition or alteration listed in Section 5.106.5.4, construction shall include electric vehicle charging in compliance with Section 5.106.5.3 for the total number of actual parking spaces being added or altered.</w:t>
      </w:r>
    </w:p>
    <w:p w14:paraId="45A9841F" w14:textId="77777777" w:rsidR="007421A9" w:rsidRPr="00A058A2" w:rsidRDefault="007421A9" w:rsidP="007421A9">
      <w:pPr>
        <w:ind w:left="547"/>
        <w:rPr>
          <w:szCs w:val="24"/>
          <w:u w:val="single"/>
        </w:rPr>
      </w:pPr>
    </w:p>
    <w:p w14:paraId="133E6BB0" w14:textId="77777777" w:rsidR="007421A9" w:rsidRPr="00A058A2" w:rsidRDefault="007421A9" w:rsidP="007421A9">
      <w:pPr>
        <w:ind w:left="547"/>
        <w:rPr>
          <w:u w:val="single"/>
        </w:rPr>
      </w:pPr>
      <w:r w:rsidRPr="00A058A2">
        <w:rPr>
          <w:b/>
          <w:bCs/>
          <w:u w:val="single"/>
        </w:rPr>
        <w:t xml:space="preserve">5.106.5.4.2 Existing buildings or parking areas with previously installed EV capable infrastructure [A]. </w:t>
      </w:r>
      <w:r w:rsidRPr="00A058A2">
        <w:rPr>
          <w:u w:val="single"/>
        </w:rPr>
        <w:t>When EV capable infrastructure is available at an existing parking facility or building, and the parking facility or building is undergoing an addition or alteration listed in Section 5.106.5.4, construction shall include electric vehicle charging in compliance with Section 5.106.5.3 utilizing the existing EV capable allocated power and infrastructure for the total number of actual parking spaces being added or altered. If the area being added or altered exceeds the existing EV capable capacity,</w:t>
      </w:r>
      <w:r w:rsidRPr="00A058A2">
        <w:t xml:space="preserve"> </w:t>
      </w:r>
      <w:r w:rsidRPr="00A058A2">
        <w:rPr>
          <w:u w:val="single"/>
        </w:rPr>
        <w:t xml:space="preserve">allocated power and infrastructure, provide additional EV charging as needed to comply with this section. </w:t>
      </w:r>
    </w:p>
    <w:p w14:paraId="5CB5EAEB" w14:textId="77777777" w:rsidR="007421A9" w:rsidRPr="007B155F" w:rsidRDefault="007421A9" w:rsidP="007421A9">
      <w:pPr>
        <w:ind w:left="547"/>
        <w:rPr>
          <w:highlight w:val="yellow"/>
          <w:u w:val="single"/>
        </w:rPr>
      </w:pPr>
    </w:p>
    <w:p w14:paraId="4A022B1D" w14:textId="77777777" w:rsidR="007421A9" w:rsidRDefault="007421A9" w:rsidP="007421A9">
      <w:pPr>
        <w:textAlignment w:val="baseline"/>
      </w:pPr>
      <w:r w:rsidRPr="00A058A2">
        <w:rPr>
          <w:b/>
          <w:bCs/>
          <w:szCs w:val="24"/>
        </w:rPr>
        <w:t>Section 5.106.5.5, previously numbered as Section 5.106.5.4 Electric vehicle (EV) charging: medium-duty and heavy-duty</w:t>
      </w:r>
      <w:r w:rsidRPr="00A058A2">
        <w:rPr>
          <w:szCs w:val="24"/>
        </w:rPr>
        <w:t xml:space="preserve">, </w:t>
      </w:r>
      <w:r w:rsidRPr="00A058A2">
        <w:t>is amended to read as follows:</w:t>
      </w:r>
    </w:p>
    <w:p w14:paraId="503CC709" w14:textId="77777777" w:rsidR="007421A9" w:rsidRPr="00A058A2" w:rsidRDefault="007421A9" w:rsidP="007421A9">
      <w:pPr>
        <w:textAlignment w:val="baseline"/>
      </w:pPr>
    </w:p>
    <w:p w14:paraId="46AC7365" w14:textId="77777777" w:rsidR="007421A9" w:rsidRPr="00A058A2" w:rsidRDefault="007421A9" w:rsidP="007421A9">
      <w:pPr>
        <w:ind w:left="720"/>
        <w:rPr>
          <w:rFonts w:eastAsia="Batang"/>
        </w:rPr>
      </w:pPr>
      <w:r w:rsidRPr="00A058A2">
        <w:rPr>
          <w:rStyle w:val="StyleBold"/>
          <w:rFonts w:eastAsia="Batang"/>
        </w:rPr>
        <w:t>5.106.5.</w:t>
      </w:r>
      <w:r w:rsidRPr="00A058A2">
        <w:rPr>
          <w:rFonts w:eastAsia="Batang"/>
          <w:b/>
          <w:bCs/>
          <w:strike/>
        </w:rPr>
        <w:t xml:space="preserve"> 4 </w:t>
      </w:r>
      <w:r w:rsidRPr="00A058A2">
        <w:rPr>
          <w:rFonts w:eastAsia="Batang"/>
          <w:b/>
          <w:bCs/>
          <w:u w:val="single"/>
        </w:rPr>
        <w:t xml:space="preserve">5 </w:t>
      </w:r>
      <w:r w:rsidRPr="00A058A2">
        <w:rPr>
          <w:rStyle w:val="StyleBold"/>
          <w:rFonts w:eastAsia="Batang"/>
        </w:rPr>
        <w:t>Electric vehicle (EV) charging:</w:t>
      </w:r>
      <w:r w:rsidRPr="00A058A2">
        <w:rPr>
          <w:rFonts w:eastAsia="Batang"/>
        </w:rPr>
        <w:t xml:space="preserve"> </w:t>
      </w:r>
      <w:r w:rsidRPr="00A058A2">
        <w:rPr>
          <w:rStyle w:val="StyleBold"/>
          <w:rFonts w:eastAsia="Batang"/>
        </w:rPr>
        <w:t>medium-duty and heavy-duty. [N] [BSC-CG]</w:t>
      </w:r>
      <w:r w:rsidRPr="00A058A2">
        <w:rPr>
          <w:rFonts w:eastAsia="Batang"/>
        </w:rPr>
        <w:t xml:space="preserve"> </w:t>
      </w:r>
      <w:r w:rsidRPr="00A058A2">
        <w:rPr>
          <w:color w:val="000000"/>
          <w:szCs w:val="24"/>
        </w:rPr>
        <w:t>Construction shall comply with Section 5.106.5.</w:t>
      </w:r>
      <w:r w:rsidRPr="00A058A2">
        <w:rPr>
          <w:strike/>
          <w:color w:val="000000"/>
          <w:szCs w:val="24"/>
        </w:rPr>
        <w:t xml:space="preserve"> 4 </w:t>
      </w:r>
      <w:r w:rsidRPr="00A058A2">
        <w:rPr>
          <w:color w:val="000000"/>
          <w:szCs w:val="24"/>
          <w:u w:val="single"/>
        </w:rPr>
        <w:t>5</w:t>
      </w:r>
      <w:r w:rsidRPr="00A058A2">
        <w:rPr>
          <w:color w:val="000000"/>
          <w:szCs w:val="24"/>
        </w:rPr>
        <w:t xml:space="preserve">.1 to facilitate future installation of electric vehicle supply equipment (EVSE). Construction </w:t>
      </w:r>
      <w:r w:rsidRPr="00A058A2">
        <w:rPr>
          <w:szCs w:val="24"/>
        </w:rPr>
        <w:t>for warehouses, grocery stores, retail stores</w:t>
      </w:r>
      <w:r w:rsidRPr="00A058A2">
        <w:rPr>
          <w:szCs w:val="24"/>
          <w:u w:val="single"/>
        </w:rPr>
        <w:t>, office buildings, and manufacturing facilities</w:t>
      </w:r>
      <w:r w:rsidRPr="00A058A2">
        <w:rPr>
          <w:szCs w:val="24"/>
        </w:rPr>
        <w:t xml:space="preserve"> with </w:t>
      </w:r>
      <w:r w:rsidRPr="00A058A2">
        <w:rPr>
          <w:color w:val="000000"/>
          <w:szCs w:val="24"/>
        </w:rPr>
        <w:t>planned off-street loading spaces shall also comply with Section 5.106.5.</w:t>
      </w:r>
      <w:r w:rsidRPr="00A058A2">
        <w:rPr>
          <w:strike/>
          <w:color w:val="000000"/>
          <w:szCs w:val="24"/>
        </w:rPr>
        <w:t xml:space="preserve"> 4 </w:t>
      </w:r>
      <w:r w:rsidRPr="00A058A2">
        <w:rPr>
          <w:color w:val="000000"/>
          <w:szCs w:val="24"/>
          <w:u w:val="single"/>
        </w:rPr>
        <w:t>5</w:t>
      </w:r>
      <w:r w:rsidRPr="00A058A2">
        <w:rPr>
          <w:color w:val="000000"/>
          <w:szCs w:val="24"/>
        </w:rPr>
        <w:t xml:space="preserve">.1 for future installation of medium- and heavy-duty EVSE. </w:t>
      </w:r>
    </w:p>
    <w:p w14:paraId="60D3BC56" w14:textId="77777777" w:rsidR="007421A9" w:rsidRPr="00A058A2" w:rsidRDefault="007421A9" w:rsidP="007421A9">
      <w:pPr>
        <w:autoSpaceDE w:val="0"/>
        <w:autoSpaceDN w:val="0"/>
        <w:adjustRightInd w:val="0"/>
        <w:ind w:left="1440"/>
        <w:contextualSpacing/>
        <w:rPr>
          <w:rStyle w:val="StyleBold"/>
          <w:rFonts w:eastAsia="Batang"/>
        </w:rPr>
      </w:pPr>
      <w:r w:rsidRPr="00A058A2">
        <w:rPr>
          <w:rStyle w:val="StyleBold"/>
          <w:rFonts w:eastAsia="Batang"/>
        </w:rPr>
        <w:t xml:space="preserve">Exceptions: </w:t>
      </w:r>
    </w:p>
    <w:p w14:paraId="35ED167F" w14:textId="77777777" w:rsidR="007421A9" w:rsidRPr="00A058A2" w:rsidRDefault="007421A9" w:rsidP="00444C61">
      <w:pPr>
        <w:autoSpaceDE w:val="0"/>
        <w:autoSpaceDN w:val="0"/>
        <w:adjustRightInd w:val="0"/>
        <w:ind w:left="1800" w:hanging="360"/>
        <w:contextualSpacing/>
        <w:rPr>
          <w:rFonts w:eastAsia="Batang"/>
          <w:szCs w:val="24"/>
        </w:rPr>
      </w:pPr>
      <w:r w:rsidRPr="00A058A2">
        <w:rPr>
          <w:rFonts w:eastAsia="Batang"/>
          <w:szCs w:val="24"/>
        </w:rPr>
        <w:t>1</w:t>
      </w:r>
      <w:r w:rsidRPr="00A058A2">
        <w:rPr>
          <w:rStyle w:val="StyleBold"/>
          <w:rFonts w:eastAsia="Batang"/>
        </w:rPr>
        <w:t xml:space="preserve">. </w:t>
      </w:r>
      <w:r w:rsidRPr="00A058A2">
        <w:rPr>
          <w:rFonts w:eastAsia="Batang"/>
          <w:szCs w:val="24"/>
        </w:rPr>
        <w:t>On a case-by-case basis where the local enforcing agency has determined compliance with this section is not feasible based upon one of the following conditions:</w:t>
      </w:r>
    </w:p>
    <w:p w14:paraId="6384C526" w14:textId="77777777" w:rsidR="007421A9" w:rsidRPr="00A058A2" w:rsidRDefault="007421A9" w:rsidP="00AC4F6A">
      <w:pPr>
        <w:widowControl w:val="0"/>
        <w:numPr>
          <w:ilvl w:val="0"/>
          <w:numId w:val="22"/>
        </w:numPr>
        <w:autoSpaceDE w:val="0"/>
        <w:autoSpaceDN w:val="0"/>
        <w:adjustRightInd w:val="0"/>
        <w:spacing w:before="100" w:beforeAutospacing="1"/>
        <w:ind w:left="2520"/>
        <w:contextualSpacing/>
        <w:rPr>
          <w:rFonts w:eastAsia="Batang"/>
          <w:szCs w:val="24"/>
        </w:rPr>
      </w:pPr>
      <w:r w:rsidRPr="00A058A2">
        <w:rPr>
          <w:rFonts w:eastAsia="Batang"/>
          <w:szCs w:val="24"/>
        </w:rPr>
        <w:t>Where there is no local utility power supply.</w:t>
      </w:r>
    </w:p>
    <w:p w14:paraId="778C39CA" w14:textId="77777777" w:rsidR="007421A9" w:rsidRPr="00A058A2" w:rsidRDefault="007421A9" w:rsidP="00AC4F6A">
      <w:pPr>
        <w:widowControl w:val="0"/>
        <w:numPr>
          <w:ilvl w:val="0"/>
          <w:numId w:val="22"/>
        </w:numPr>
        <w:autoSpaceDE w:val="0"/>
        <w:autoSpaceDN w:val="0"/>
        <w:adjustRightInd w:val="0"/>
        <w:spacing w:before="100" w:beforeAutospacing="1"/>
        <w:ind w:left="2520"/>
        <w:contextualSpacing/>
        <w:rPr>
          <w:rFonts w:eastAsia="Batang"/>
          <w:szCs w:val="24"/>
        </w:rPr>
      </w:pPr>
      <w:r w:rsidRPr="00A058A2">
        <w:rPr>
          <w:rFonts w:eastAsia="Batang"/>
          <w:szCs w:val="24"/>
        </w:rPr>
        <w:t>Where the local utility is unable to supply adequate power.</w:t>
      </w:r>
    </w:p>
    <w:p w14:paraId="5991E54E" w14:textId="77777777" w:rsidR="007421A9" w:rsidRPr="00A058A2" w:rsidRDefault="007421A9" w:rsidP="00AC4F6A">
      <w:pPr>
        <w:widowControl w:val="0"/>
        <w:numPr>
          <w:ilvl w:val="0"/>
          <w:numId w:val="22"/>
        </w:numPr>
        <w:autoSpaceDE w:val="0"/>
        <w:autoSpaceDN w:val="0"/>
        <w:adjustRightInd w:val="0"/>
        <w:spacing w:before="100" w:beforeAutospacing="1"/>
        <w:ind w:left="2520"/>
        <w:contextualSpacing/>
        <w:rPr>
          <w:rFonts w:eastAsia="Batang"/>
          <w:szCs w:val="24"/>
        </w:rPr>
      </w:pPr>
      <w:r w:rsidRPr="00A058A2">
        <w:rPr>
          <w:rFonts w:eastAsia="Batang"/>
          <w:szCs w:val="24"/>
        </w:rPr>
        <w:t>Where there is evidence suitable to the local enforcing agency substantiating that additional local utility infrastructure design requirements, directly related to the implementation of Section 5.106.5.3, may adversely impact the construction cost of the project.</w:t>
      </w:r>
    </w:p>
    <w:p w14:paraId="4D16C2F8" w14:textId="77777777" w:rsidR="007421A9" w:rsidRPr="00A058A2" w:rsidRDefault="007421A9" w:rsidP="007421A9">
      <w:pPr>
        <w:autoSpaceDE w:val="0"/>
        <w:autoSpaceDN w:val="0"/>
        <w:adjustRightInd w:val="0"/>
        <w:ind w:left="720"/>
        <w:rPr>
          <w:color w:val="000000"/>
          <w:szCs w:val="24"/>
        </w:rPr>
      </w:pPr>
    </w:p>
    <w:p w14:paraId="7D427191" w14:textId="77777777" w:rsidR="007421A9" w:rsidRDefault="007421A9" w:rsidP="007421A9">
      <w:pPr>
        <w:autoSpaceDE w:val="0"/>
        <w:autoSpaceDN w:val="0"/>
        <w:adjustRightInd w:val="0"/>
        <w:ind w:left="720"/>
        <w:rPr>
          <w:color w:val="000000"/>
          <w:szCs w:val="24"/>
        </w:rPr>
      </w:pPr>
      <w:r w:rsidRPr="00A058A2">
        <w:rPr>
          <w:color w:val="000000"/>
          <w:szCs w:val="24"/>
        </w:rPr>
        <w:t xml:space="preserve">When EVSE(s) is/are installed, it shall be in accordance with the </w:t>
      </w:r>
      <w:r w:rsidRPr="00A058A2">
        <w:rPr>
          <w:i/>
          <w:iCs/>
          <w:color w:val="000000"/>
          <w:szCs w:val="24"/>
        </w:rPr>
        <w:t xml:space="preserve">California Building Code, </w:t>
      </w:r>
      <w:r w:rsidRPr="00A058A2">
        <w:rPr>
          <w:color w:val="000000"/>
          <w:szCs w:val="24"/>
        </w:rPr>
        <w:t xml:space="preserve">the </w:t>
      </w:r>
      <w:r w:rsidRPr="00A058A2">
        <w:rPr>
          <w:i/>
          <w:iCs/>
          <w:color w:val="000000"/>
          <w:szCs w:val="24"/>
        </w:rPr>
        <w:t xml:space="preserve">California Electrical Code </w:t>
      </w:r>
      <w:r w:rsidRPr="00A058A2">
        <w:rPr>
          <w:color w:val="000000"/>
          <w:szCs w:val="24"/>
        </w:rPr>
        <w:t>and as follows:</w:t>
      </w:r>
    </w:p>
    <w:p w14:paraId="790BC0D5" w14:textId="77777777" w:rsidR="007421A9" w:rsidRPr="00A058A2" w:rsidRDefault="007421A9" w:rsidP="007421A9">
      <w:pPr>
        <w:autoSpaceDE w:val="0"/>
        <w:autoSpaceDN w:val="0"/>
        <w:adjustRightInd w:val="0"/>
        <w:ind w:left="720"/>
        <w:rPr>
          <w:rFonts w:eastAsia="Batang"/>
          <w:szCs w:val="24"/>
        </w:rPr>
      </w:pPr>
    </w:p>
    <w:p w14:paraId="52F1A0A4" w14:textId="77777777" w:rsidR="007421A9" w:rsidRPr="00A058A2" w:rsidRDefault="007421A9" w:rsidP="007421A9">
      <w:pPr>
        <w:autoSpaceDE w:val="0"/>
        <w:autoSpaceDN w:val="0"/>
        <w:adjustRightInd w:val="0"/>
        <w:ind w:left="720"/>
        <w:rPr>
          <w:color w:val="000000"/>
          <w:szCs w:val="24"/>
        </w:rPr>
      </w:pPr>
      <w:r w:rsidRPr="00A058A2">
        <w:rPr>
          <w:b/>
          <w:bCs/>
          <w:color w:val="000000"/>
          <w:szCs w:val="24"/>
        </w:rPr>
        <w:t>5.106.5.</w:t>
      </w:r>
      <w:r w:rsidRPr="00A058A2">
        <w:rPr>
          <w:b/>
          <w:bCs/>
          <w:strike/>
          <w:color w:val="000000"/>
          <w:szCs w:val="24"/>
        </w:rPr>
        <w:t xml:space="preserve"> 4 </w:t>
      </w:r>
      <w:r w:rsidRPr="00A058A2">
        <w:rPr>
          <w:b/>
          <w:bCs/>
          <w:color w:val="000000"/>
          <w:szCs w:val="24"/>
          <w:u w:val="single"/>
        </w:rPr>
        <w:t>5</w:t>
      </w:r>
      <w:r w:rsidRPr="00A058A2">
        <w:rPr>
          <w:b/>
          <w:bCs/>
          <w:color w:val="000000"/>
          <w:szCs w:val="24"/>
        </w:rPr>
        <w:t>.1 Electric vehicle charging readiness requirements for warehouses, grocery stores and retail stores,</w:t>
      </w:r>
      <w:r w:rsidRPr="00A058A2">
        <w:t xml:space="preserve"> </w:t>
      </w:r>
      <w:r w:rsidRPr="00A058A2">
        <w:rPr>
          <w:b/>
          <w:bCs/>
          <w:color w:val="000000"/>
          <w:szCs w:val="24"/>
          <w:u w:val="single"/>
        </w:rPr>
        <w:t>office buildings, and manufacturing facilities</w:t>
      </w:r>
      <w:r w:rsidRPr="00A058A2">
        <w:rPr>
          <w:b/>
          <w:bCs/>
          <w:color w:val="000000"/>
          <w:szCs w:val="24"/>
        </w:rPr>
        <w:t xml:space="preserve"> with planned off-street loading spaces [N] </w:t>
      </w:r>
    </w:p>
    <w:p w14:paraId="1AAC97C3" w14:textId="77777777" w:rsidR="007421A9" w:rsidRPr="00A058A2" w:rsidRDefault="007421A9" w:rsidP="007421A9">
      <w:pPr>
        <w:autoSpaceDE w:val="0"/>
        <w:autoSpaceDN w:val="0"/>
        <w:adjustRightInd w:val="0"/>
        <w:ind w:left="720"/>
        <w:rPr>
          <w:color w:val="000000"/>
          <w:szCs w:val="24"/>
        </w:rPr>
      </w:pPr>
      <w:r w:rsidRPr="00A058A2">
        <w:rPr>
          <w:color w:val="000000"/>
          <w:szCs w:val="24"/>
        </w:rPr>
        <w:t xml:space="preserve">In order to avoid future demolition when adding EV supply and distribution equipment, spare raceway(s) or busway(s) and adequate capacity for transformer(s), service panel(s) or subpanel(s) shall be installed at the time of construction in accordance with the </w:t>
      </w:r>
      <w:r w:rsidRPr="00A058A2">
        <w:rPr>
          <w:i/>
          <w:iCs/>
          <w:color w:val="000000"/>
          <w:szCs w:val="24"/>
        </w:rPr>
        <w:t>California Electrical Code</w:t>
      </w:r>
      <w:r w:rsidRPr="00A058A2">
        <w:rPr>
          <w:color w:val="000000"/>
          <w:szCs w:val="24"/>
        </w:rPr>
        <w:t>. Construction plans and specifications shall include, but are not limited to, the following:</w:t>
      </w:r>
    </w:p>
    <w:p w14:paraId="6A46C1B2" w14:textId="77777777" w:rsidR="007421A9" w:rsidRPr="00A058A2" w:rsidRDefault="007421A9" w:rsidP="00AC4F6A">
      <w:pPr>
        <w:numPr>
          <w:ilvl w:val="0"/>
          <w:numId w:val="23"/>
        </w:numPr>
        <w:tabs>
          <w:tab w:val="clear" w:pos="720"/>
        </w:tabs>
        <w:spacing w:before="100" w:beforeAutospacing="1"/>
        <w:ind w:left="1440"/>
        <w:rPr>
          <w:noProof/>
          <w:szCs w:val="24"/>
        </w:rPr>
      </w:pPr>
      <w:r w:rsidRPr="00A058A2">
        <w:rPr>
          <w:noProof/>
          <w:szCs w:val="24"/>
        </w:rPr>
        <w:t>The transformer, main service equipment and subpanels shall meet the minimum power requirement in Table 5.106.5.</w:t>
      </w:r>
      <w:r w:rsidRPr="00A058A2">
        <w:rPr>
          <w:strike/>
          <w:noProof/>
          <w:szCs w:val="24"/>
        </w:rPr>
        <w:t xml:space="preserve"> 4 </w:t>
      </w:r>
      <w:r w:rsidRPr="00A058A2">
        <w:rPr>
          <w:noProof/>
          <w:szCs w:val="24"/>
          <w:u w:val="single"/>
        </w:rPr>
        <w:t>5</w:t>
      </w:r>
      <w:r w:rsidRPr="00A058A2">
        <w:rPr>
          <w:noProof/>
          <w:szCs w:val="24"/>
        </w:rPr>
        <w:t xml:space="preserve">.1 to accommodate the dedicated branch circuits for the future installation of EVSE. </w:t>
      </w:r>
    </w:p>
    <w:p w14:paraId="3781A9CC" w14:textId="77777777" w:rsidR="007421A9" w:rsidRPr="00A058A2" w:rsidRDefault="007421A9" w:rsidP="00AC4F6A">
      <w:pPr>
        <w:numPr>
          <w:ilvl w:val="0"/>
          <w:numId w:val="23"/>
        </w:numPr>
        <w:spacing w:before="100" w:beforeAutospacing="1"/>
        <w:ind w:left="1440"/>
        <w:rPr>
          <w:noProof/>
          <w:szCs w:val="24"/>
        </w:rPr>
      </w:pPr>
      <w:r w:rsidRPr="00A058A2">
        <w:rPr>
          <w:noProof/>
          <w:szCs w:val="24"/>
        </w:rPr>
        <w:t>The construction documents shall indicate one or more location(s) convenient to the planned off-street loading space(s) reserved for medium- and heavy-duty ZEV charging cabinets and charging dispensers, and a pathway reserved for routing of conduit from the termination of the raceway(s) or busway(s) to the charging cabinet(s) and dispenser(s), as shown in Table 5.106.5.</w:t>
      </w:r>
      <w:r w:rsidRPr="00A058A2">
        <w:rPr>
          <w:strike/>
          <w:noProof/>
          <w:szCs w:val="24"/>
        </w:rPr>
        <w:t xml:space="preserve"> 4 </w:t>
      </w:r>
      <w:r w:rsidRPr="00A058A2">
        <w:rPr>
          <w:noProof/>
          <w:szCs w:val="24"/>
          <w:u w:val="single"/>
        </w:rPr>
        <w:t>5</w:t>
      </w:r>
      <w:r w:rsidRPr="00A058A2">
        <w:rPr>
          <w:noProof/>
          <w:szCs w:val="24"/>
        </w:rPr>
        <w:t xml:space="preserve">.1. </w:t>
      </w:r>
    </w:p>
    <w:p w14:paraId="045BD2AD" w14:textId="77777777" w:rsidR="007421A9" w:rsidRPr="00A058A2" w:rsidRDefault="007421A9" w:rsidP="00AC4F6A">
      <w:pPr>
        <w:numPr>
          <w:ilvl w:val="0"/>
          <w:numId w:val="23"/>
        </w:numPr>
        <w:spacing w:before="100" w:beforeAutospacing="1"/>
        <w:ind w:left="1440"/>
        <w:rPr>
          <w:szCs w:val="24"/>
        </w:rPr>
      </w:pPr>
      <w:r w:rsidRPr="00A058A2">
        <w:rPr>
          <w:szCs w:val="24"/>
        </w:rPr>
        <w:t>Raceway(s) or busway(s) originating at a main service panel or a subpanel(s) serving the area where potential future medium- and heavy-duty EVSE will be located and shall terminate in close proximity to the potential future location of the charging equipment for medium- and heavy-duty vehicles.</w:t>
      </w:r>
    </w:p>
    <w:p w14:paraId="51ADE8F9" w14:textId="77777777" w:rsidR="007421A9" w:rsidRPr="00BF59FF" w:rsidRDefault="007421A9" w:rsidP="00AC4F6A">
      <w:pPr>
        <w:numPr>
          <w:ilvl w:val="0"/>
          <w:numId w:val="23"/>
        </w:numPr>
        <w:spacing w:before="100" w:beforeAutospacing="1"/>
        <w:ind w:left="1440"/>
        <w:rPr>
          <w:noProof/>
          <w:szCs w:val="24"/>
        </w:rPr>
      </w:pPr>
      <w:r w:rsidRPr="00A058A2">
        <w:rPr>
          <w:noProof/>
          <w:szCs w:val="24"/>
        </w:rPr>
        <w:t>The raceway(s) or busway(s) shall be of sufficient size to carry the minimum additional system load to the future location of the charging for medium- and heavy-duty ZEVs as shown in Table 5.106.5.</w:t>
      </w:r>
      <w:r w:rsidRPr="00A058A2">
        <w:rPr>
          <w:strike/>
          <w:noProof/>
          <w:szCs w:val="24"/>
        </w:rPr>
        <w:t xml:space="preserve"> 4 </w:t>
      </w:r>
      <w:r w:rsidRPr="00A058A2">
        <w:rPr>
          <w:noProof/>
          <w:szCs w:val="24"/>
          <w:u w:val="single"/>
        </w:rPr>
        <w:t>5</w:t>
      </w:r>
      <w:r w:rsidRPr="00A058A2">
        <w:rPr>
          <w:noProof/>
          <w:szCs w:val="24"/>
        </w:rPr>
        <w:t>.1.</w:t>
      </w:r>
    </w:p>
    <w:p w14:paraId="17CF8628" w14:textId="77777777" w:rsidR="007421A9" w:rsidRDefault="007421A9" w:rsidP="007421A9">
      <w:pPr>
        <w:ind w:left="720"/>
        <w:jc w:val="center"/>
        <w:rPr>
          <w:b/>
          <w:noProof/>
          <w:sz w:val="22"/>
        </w:rPr>
      </w:pPr>
      <w:r>
        <w:rPr>
          <w:rStyle w:val="StyleBold"/>
          <w:rFonts w:eastAsia="ヒラギノ角ゴ Pro W3"/>
        </w:rPr>
        <w:br w:type="page"/>
      </w:r>
      <w:r w:rsidRPr="00A058A2">
        <w:rPr>
          <w:rStyle w:val="StyleBold"/>
          <w:rFonts w:eastAsia="ヒラギノ角ゴ Pro W3"/>
        </w:rPr>
        <w:t>TABLE 5.106.5.</w:t>
      </w:r>
      <w:r w:rsidRPr="00A058A2">
        <w:rPr>
          <w:b/>
          <w:strike/>
          <w:noProof/>
          <w:szCs w:val="24"/>
        </w:rPr>
        <w:t xml:space="preserve"> 4 </w:t>
      </w:r>
      <w:r w:rsidRPr="00A058A2">
        <w:rPr>
          <w:b/>
          <w:noProof/>
          <w:szCs w:val="24"/>
          <w:u w:val="single"/>
        </w:rPr>
        <w:t>5</w:t>
      </w:r>
      <w:r w:rsidRPr="00A058A2">
        <w:rPr>
          <w:rStyle w:val="StyleBold"/>
          <w:rFonts w:eastAsia="ヒラギノ角ゴ Pro W3"/>
        </w:rPr>
        <w:t xml:space="preserve">.1, </w:t>
      </w:r>
      <w:r w:rsidRPr="00A058A2">
        <w:rPr>
          <w:b/>
          <w:noProof/>
          <w:sz w:val="22"/>
        </w:rPr>
        <w:t xml:space="preserve">RACEWAY CONDUIT AND PANEL </w:t>
      </w:r>
    </w:p>
    <w:p w14:paraId="0F5A5D03" w14:textId="77777777" w:rsidR="007421A9" w:rsidRDefault="007421A9" w:rsidP="007421A9">
      <w:pPr>
        <w:ind w:left="720"/>
        <w:jc w:val="center"/>
        <w:rPr>
          <w:b/>
          <w:noProof/>
          <w:sz w:val="22"/>
        </w:rPr>
      </w:pPr>
      <w:r w:rsidRPr="00A058A2">
        <w:rPr>
          <w:b/>
          <w:noProof/>
          <w:sz w:val="22"/>
        </w:rPr>
        <w:t>POWER REQUIREMENTS FOR MEDIUM-AND-HEAVY-DUTY EVSE [N]</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736"/>
        <w:gridCol w:w="2032"/>
        <w:gridCol w:w="2240"/>
        <w:gridCol w:w="2154"/>
      </w:tblGrid>
      <w:tr w:rsidR="007421A9" w:rsidRPr="006D5F97" w14:paraId="65E9DAAC" w14:textId="77777777" w:rsidTr="009506EF">
        <w:trPr>
          <w:cantSplit/>
          <w:tblHeader/>
        </w:trPr>
        <w:tc>
          <w:tcPr>
            <w:tcW w:w="1737" w:type="dxa"/>
            <w:tcBorders>
              <w:bottom w:val="single" w:sz="4" w:space="0" w:color="auto"/>
            </w:tcBorders>
            <w:shd w:val="clear" w:color="auto" w:fill="auto"/>
          </w:tcPr>
          <w:p w14:paraId="18AF0393" w14:textId="77777777" w:rsidR="007421A9" w:rsidRPr="00245663" w:rsidRDefault="007421A9" w:rsidP="009506EF">
            <w:pPr>
              <w:jc w:val="center"/>
              <w:rPr>
                <w:rFonts w:cs="Arial"/>
                <w:bCs/>
                <w:noProof/>
                <w:szCs w:val="24"/>
              </w:rPr>
            </w:pPr>
            <w:r w:rsidRPr="00245663">
              <w:rPr>
                <w:rFonts w:cs="Arial"/>
                <w:bCs/>
                <w:noProof/>
                <w:szCs w:val="24"/>
              </w:rPr>
              <w:t>Building type</w:t>
            </w:r>
          </w:p>
        </w:tc>
        <w:tc>
          <w:tcPr>
            <w:tcW w:w="2040" w:type="dxa"/>
            <w:tcBorders>
              <w:bottom w:val="single" w:sz="4" w:space="0" w:color="auto"/>
            </w:tcBorders>
            <w:shd w:val="clear" w:color="auto" w:fill="auto"/>
          </w:tcPr>
          <w:p w14:paraId="0D28DCD2" w14:textId="77777777" w:rsidR="007421A9" w:rsidRPr="00245663" w:rsidRDefault="007421A9" w:rsidP="009506EF">
            <w:pPr>
              <w:jc w:val="center"/>
              <w:rPr>
                <w:rFonts w:cs="Arial"/>
                <w:bCs/>
                <w:noProof/>
                <w:szCs w:val="24"/>
              </w:rPr>
            </w:pPr>
            <w:r w:rsidRPr="00245663">
              <w:rPr>
                <w:rFonts w:cs="Arial"/>
                <w:bCs/>
                <w:noProof/>
                <w:szCs w:val="24"/>
              </w:rPr>
              <w:t>Building Size</w:t>
            </w:r>
            <w:r w:rsidRPr="00245663">
              <w:rPr>
                <w:rFonts w:cs="Arial"/>
                <w:bCs/>
                <w:noProof/>
                <w:szCs w:val="24"/>
              </w:rPr>
              <w:br/>
              <w:t>(sq. ft.)</w:t>
            </w:r>
          </w:p>
        </w:tc>
        <w:tc>
          <w:tcPr>
            <w:tcW w:w="2250" w:type="dxa"/>
            <w:shd w:val="clear" w:color="auto" w:fill="auto"/>
          </w:tcPr>
          <w:p w14:paraId="73AC2387" w14:textId="77777777" w:rsidR="007421A9" w:rsidRPr="00245663" w:rsidRDefault="007421A9" w:rsidP="009506EF">
            <w:pPr>
              <w:jc w:val="center"/>
              <w:rPr>
                <w:rFonts w:cs="Arial"/>
                <w:bCs/>
                <w:noProof/>
                <w:szCs w:val="24"/>
              </w:rPr>
            </w:pPr>
            <w:r w:rsidRPr="00245663">
              <w:rPr>
                <w:rFonts w:cs="Arial"/>
                <w:bCs/>
                <w:noProof/>
                <w:szCs w:val="24"/>
              </w:rPr>
              <w:t>Number of Off-street loading spaces</w:t>
            </w:r>
          </w:p>
        </w:tc>
        <w:tc>
          <w:tcPr>
            <w:tcW w:w="2160" w:type="dxa"/>
            <w:shd w:val="clear" w:color="auto" w:fill="auto"/>
          </w:tcPr>
          <w:p w14:paraId="2DDBD792" w14:textId="72BB03BB" w:rsidR="007421A9" w:rsidRPr="00245663" w:rsidRDefault="007421A9" w:rsidP="009506EF">
            <w:pPr>
              <w:jc w:val="center"/>
              <w:rPr>
                <w:rFonts w:cs="Arial"/>
                <w:b/>
                <w:noProof/>
                <w:szCs w:val="24"/>
              </w:rPr>
            </w:pPr>
            <w:r w:rsidRPr="00245663">
              <w:rPr>
                <w:rFonts w:cs="Arial"/>
                <w:bCs/>
                <w:szCs w:val="24"/>
              </w:rPr>
              <w:t>Additional capacity Required (kV</w:t>
            </w:r>
            <w:r w:rsidR="00905939">
              <w:rPr>
                <w:rFonts w:cs="Arial"/>
                <w:bCs/>
                <w:szCs w:val="24"/>
              </w:rPr>
              <w:t>A</w:t>
            </w:r>
            <w:r w:rsidRPr="00245663">
              <w:rPr>
                <w:rFonts w:cs="Arial"/>
                <w:bCs/>
                <w:szCs w:val="24"/>
              </w:rPr>
              <w:t>) for Raceway &amp; Busway and Transformer &amp; Panel</w:t>
            </w:r>
          </w:p>
        </w:tc>
      </w:tr>
      <w:tr w:rsidR="007421A9" w:rsidRPr="006D5F97" w14:paraId="0966EC52" w14:textId="77777777" w:rsidTr="009506EF">
        <w:trPr>
          <w:cantSplit/>
          <w:trHeight w:val="188"/>
          <w:tblHeader/>
        </w:trPr>
        <w:tc>
          <w:tcPr>
            <w:tcW w:w="1737" w:type="dxa"/>
            <w:vMerge w:val="restart"/>
            <w:shd w:val="clear" w:color="auto" w:fill="auto"/>
          </w:tcPr>
          <w:p w14:paraId="5776E222" w14:textId="77777777" w:rsidR="007421A9" w:rsidRPr="00245663" w:rsidRDefault="007421A9" w:rsidP="009506EF">
            <w:pPr>
              <w:jc w:val="center"/>
              <w:rPr>
                <w:rFonts w:cs="Arial"/>
                <w:bCs/>
                <w:noProof/>
                <w:szCs w:val="24"/>
              </w:rPr>
            </w:pPr>
            <w:r w:rsidRPr="00245663">
              <w:rPr>
                <w:rFonts w:cs="Arial"/>
                <w:bCs/>
                <w:noProof/>
                <w:szCs w:val="24"/>
              </w:rPr>
              <w:t>Grocery</w:t>
            </w:r>
          </w:p>
        </w:tc>
        <w:tc>
          <w:tcPr>
            <w:tcW w:w="2040" w:type="dxa"/>
            <w:vMerge w:val="restart"/>
            <w:shd w:val="clear" w:color="auto" w:fill="auto"/>
          </w:tcPr>
          <w:p w14:paraId="06CE108A" w14:textId="77777777" w:rsidR="007421A9" w:rsidRPr="00245663" w:rsidRDefault="007421A9" w:rsidP="009506EF">
            <w:pPr>
              <w:jc w:val="center"/>
              <w:rPr>
                <w:rFonts w:cs="Arial"/>
                <w:bCs/>
                <w:noProof/>
                <w:szCs w:val="24"/>
              </w:rPr>
            </w:pPr>
            <w:r w:rsidRPr="00245663">
              <w:rPr>
                <w:rFonts w:cs="Arial"/>
                <w:bCs/>
                <w:noProof/>
                <w:szCs w:val="24"/>
              </w:rPr>
              <w:t>10,000 to 90,000</w:t>
            </w:r>
          </w:p>
        </w:tc>
        <w:tc>
          <w:tcPr>
            <w:tcW w:w="2250" w:type="dxa"/>
            <w:shd w:val="clear" w:color="auto" w:fill="auto"/>
            <w:vAlign w:val="center"/>
          </w:tcPr>
          <w:p w14:paraId="2A5D3DF9" w14:textId="77777777" w:rsidR="007421A9" w:rsidRPr="00245663" w:rsidRDefault="007421A9" w:rsidP="009506EF">
            <w:pPr>
              <w:jc w:val="center"/>
              <w:rPr>
                <w:rFonts w:cs="Arial"/>
                <w:bCs/>
                <w:noProof/>
                <w:szCs w:val="24"/>
              </w:rPr>
            </w:pPr>
            <w:r w:rsidRPr="00245663">
              <w:rPr>
                <w:rFonts w:cs="Arial"/>
                <w:bCs/>
                <w:noProof/>
                <w:szCs w:val="24"/>
              </w:rPr>
              <w:t>1 or 2</w:t>
            </w:r>
          </w:p>
        </w:tc>
        <w:tc>
          <w:tcPr>
            <w:tcW w:w="2160" w:type="dxa"/>
            <w:shd w:val="clear" w:color="auto" w:fill="auto"/>
            <w:vAlign w:val="center"/>
          </w:tcPr>
          <w:p w14:paraId="561F4A01" w14:textId="77777777" w:rsidR="007421A9" w:rsidRPr="00245663" w:rsidRDefault="007421A9" w:rsidP="009506EF">
            <w:pPr>
              <w:jc w:val="center"/>
              <w:rPr>
                <w:rFonts w:cs="Arial"/>
                <w:bCs/>
                <w:noProof/>
                <w:szCs w:val="24"/>
              </w:rPr>
            </w:pPr>
            <w:r w:rsidRPr="00245663">
              <w:rPr>
                <w:rFonts w:cs="Arial"/>
                <w:bCs/>
                <w:noProof/>
                <w:szCs w:val="24"/>
              </w:rPr>
              <w:t>200</w:t>
            </w:r>
          </w:p>
        </w:tc>
      </w:tr>
      <w:tr w:rsidR="007421A9" w:rsidRPr="006D5F97" w14:paraId="40FED784" w14:textId="77777777" w:rsidTr="009506EF">
        <w:trPr>
          <w:cantSplit/>
          <w:trHeight w:val="188"/>
          <w:tblHeader/>
        </w:trPr>
        <w:tc>
          <w:tcPr>
            <w:tcW w:w="1737" w:type="dxa"/>
            <w:vMerge/>
            <w:shd w:val="clear" w:color="auto" w:fill="auto"/>
          </w:tcPr>
          <w:p w14:paraId="4C84C51A" w14:textId="77777777" w:rsidR="007421A9" w:rsidRPr="00245663" w:rsidRDefault="007421A9" w:rsidP="009506EF">
            <w:pPr>
              <w:jc w:val="center"/>
              <w:rPr>
                <w:rFonts w:cs="Arial"/>
                <w:bCs/>
                <w:noProof/>
                <w:szCs w:val="24"/>
              </w:rPr>
            </w:pPr>
          </w:p>
        </w:tc>
        <w:tc>
          <w:tcPr>
            <w:tcW w:w="2040" w:type="dxa"/>
            <w:vMerge/>
            <w:tcBorders>
              <w:bottom w:val="nil"/>
            </w:tcBorders>
            <w:shd w:val="clear" w:color="auto" w:fill="auto"/>
          </w:tcPr>
          <w:p w14:paraId="1C8A62F2" w14:textId="77777777" w:rsidR="007421A9" w:rsidRPr="00245663" w:rsidRDefault="007421A9" w:rsidP="009506EF">
            <w:pPr>
              <w:jc w:val="center"/>
              <w:rPr>
                <w:rFonts w:cs="Arial"/>
                <w:bCs/>
                <w:noProof/>
                <w:szCs w:val="24"/>
              </w:rPr>
            </w:pPr>
          </w:p>
        </w:tc>
        <w:tc>
          <w:tcPr>
            <w:tcW w:w="2250" w:type="dxa"/>
            <w:shd w:val="clear" w:color="auto" w:fill="auto"/>
            <w:vAlign w:val="center"/>
          </w:tcPr>
          <w:p w14:paraId="040291FE" w14:textId="77777777" w:rsidR="007421A9" w:rsidRPr="00245663" w:rsidRDefault="007421A9" w:rsidP="009506EF">
            <w:pPr>
              <w:jc w:val="center"/>
              <w:rPr>
                <w:rFonts w:cs="Arial"/>
                <w:bCs/>
                <w:noProof/>
                <w:szCs w:val="24"/>
              </w:rPr>
            </w:pPr>
            <w:r w:rsidRPr="00245663">
              <w:rPr>
                <w:rFonts w:cs="Arial"/>
                <w:bCs/>
                <w:noProof/>
                <w:szCs w:val="24"/>
              </w:rPr>
              <w:t>3 or Greater</w:t>
            </w:r>
          </w:p>
        </w:tc>
        <w:tc>
          <w:tcPr>
            <w:tcW w:w="2160" w:type="dxa"/>
            <w:shd w:val="clear" w:color="auto" w:fill="auto"/>
            <w:vAlign w:val="center"/>
          </w:tcPr>
          <w:p w14:paraId="71A779F6" w14:textId="77777777" w:rsidR="007421A9" w:rsidRPr="00245663" w:rsidRDefault="007421A9" w:rsidP="009506EF">
            <w:pPr>
              <w:jc w:val="center"/>
              <w:rPr>
                <w:rFonts w:cs="Arial"/>
                <w:bCs/>
                <w:noProof/>
                <w:szCs w:val="24"/>
              </w:rPr>
            </w:pPr>
            <w:r w:rsidRPr="00245663">
              <w:rPr>
                <w:rFonts w:cs="Arial"/>
                <w:bCs/>
                <w:noProof/>
                <w:szCs w:val="24"/>
              </w:rPr>
              <w:t>400</w:t>
            </w:r>
          </w:p>
        </w:tc>
      </w:tr>
      <w:tr w:rsidR="007421A9" w:rsidRPr="006D5F97" w14:paraId="0E22355E" w14:textId="77777777" w:rsidTr="009506EF">
        <w:trPr>
          <w:cantSplit/>
          <w:trHeight w:val="188"/>
          <w:tblHeader/>
        </w:trPr>
        <w:tc>
          <w:tcPr>
            <w:tcW w:w="1737" w:type="dxa"/>
            <w:vMerge/>
            <w:tcBorders>
              <w:bottom w:val="nil"/>
            </w:tcBorders>
            <w:shd w:val="clear" w:color="auto" w:fill="auto"/>
          </w:tcPr>
          <w:p w14:paraId="0B9EB441" w14:textId="77777777" w:rsidR="007421A9" w:rsidRPr="00245663" w:rsidRDefault="007421A9" w:rsidP="009506EF">
            <w:pPr>
              <w:jc w:val="center"/>
              <w:rPr>
                <w:rFonts w:cs="Arial"/>
                <w:bCs/>
                <w:noProof/>
                <w:szCs w:val="24"/>
              </w:rPr>
            </w:pPr>
          </w:p>
        </w:tc>
        <w:tc>
          <w:tcPr>
            <w:tcW w:w="2040" w:type="dxa"/>
            <w:tcBorders>
              <w:bottom w:val="nil"/>
            </w:tcBorders>
            <w:shd w:val="clear" w:color="auto" w:fill="auto"/>
          </w:tcPr>
          <w:p w14:paraId="6275D829" w14:textId="77777777" w:rsidR="007421A9" w:rsidRPr="00245663" w:rsidRDefault="007421A9" w:rsidP="009506EF">
            <w:pPr>
              <w:jc w:val="center"/>
              <w:rPr>
                <w:rFonts w:cs="Arial"/>
                <w:bCs/>
                <w:noProof/>
                <w:szCs w:val="24"/>
              </w:rPr>
            </w:pPr>
            <w:r w:rsidRPr="00245663">
              <w:rPr>
                <w:rFonts w:cs="Arial"/>
                <w:bCs/>
                <w:noProof/>
                <w:szCs w:val="24"/>
              </w:rPr>
              <w:t>Greater than 90,000</w:t>
            </w:r>
          </w:p>
        </w:tc>
        <w:tc>
          <w:tcPr>
            <w:tcW w:w="2250" w:type="dxa"/>
            <w:shd w:val="clear" w:color="auto" w:fill="auto"/>
            <w:vAlign w:val="center"/>
          </w:tcPr>
          <w:p w14:paraId="5DF27FB9" w14:textId="77777777" w:rsidR="007421A9" w:rsidRPr="00245663" w:rsidRDefault="007421A9" w:rsidP="009506EF">
            <w:pPr>
              <w:jc w:val="center"/>
              <w:rPr>
                <w:rFonts w:cs="Arial"/>
                <w:bCs/>
                <w:noProof/>
                <w:szCs w:val="24"/>
              </w:rPr>
            </w:pPr>
            <w:r w:rsidRPr="00245663">
              <w:rPr>
                <w:rFonts w:cs="Arial"/>
                <w:bCs/>
                <w:noProof/>
                <w:szCs w:val="24"/>
              </w:rPr>
              <w:t>1 or Greater</w:t>
            </w:r>
          </w:p>
        </w:tc>
        <w:tc>
          <w:tcPr>
            <w:tcW w:w="2160" w:type="dxa"/>
            <w:shd w:val="clear" w:color="auto" w:fill="auto"/>
            <w:vAlign w:val="center"/>
          </w:tcPr>
          <w:p w14:paraId="3B1ACC73" w14:textId="77777777" w:rsidR="007421A9" w:rsidRPr="00245663" w:rsidRDefault="007421A9" w:rsidP="009506EF">
            <w:pPr>
              <w:jc w:val="center"/>
              <w:rPr>
                <w:rFonts w:cs="Arial"/>
                <w:bCs/>
                <w:noProof/>
                <w:szCs w:val="24"/>
              </w:rPr>
            </w:pPr>
            <w:r w:rsidRPr="00245663">
              <w:rPr>
                <w:rFonts w:cs="Arial"/>
                <w:bCs/>
                <w:noProof/>
                <w:szCs w:val="24"/>
              </w:rPr>
              <w:t>400</w:t>
            </w:r>
          </w:p>
        </w:tc>
      </w:tr>
      <w:tr w:rsidR="007421A9" w:rsidRPr="006D5F97" w14:paraId="0AD0FD9B" w14:textId="77777777" w:rsidTr="009506EF">
        <w:trPr>
          <w:cantSplit/>
          <w:trHeight w:val="279"/>
          <w:tblHeader/>
        </w:trPr>
        <w:tc>
          <w:tcPr>
            <w:tcW w:w="1737" w:type="dxa"/>
            <w:vMerge w:val="restart"/>
            <w:shd w:val="clear" w:color="auto" w:fill="auto"/>
          </w:tcPr>
          <w:p w14:paraId="5166059A" w14:textId="77777777" w:rsidR="007421A9" w:rsidRPr="00245663" w:rsidRDefault="007421A9" w:rsidP="009506EF">
            <w:pPr>
              <w:jc w:val="center"/>
              <w:rPr>
                <w:rFonts w:cs="Arial"/>
                <w:bCs/>
                <w:noProof/>
                <w:szCs w:val="24"/>
              </w:rPr>
            </w:pPr>
            <w:r w:rsidRPr="00245663">
              <w:rPr>
                <w:rFonts w:cs="Arial"/>
                <w:bCs/>
                <w:noProof/>
                <w:szCs w:val="24"/>
              </w:rPr>
              <w:t>Retail</w:t>
            </w:r>
          </w:p>
        </w:tc>
        <w:tc>
          <w:tcPr>
            <w:tcW w:w="2040" w:type="dxa"/>
            <w:vMerge w:val="restart"/>
            <w:shd w:val="clear" w:color="auto" w:fill="auto"/>
          </w:tcPr>
          <w:p w14:paraId="51F1D676" w14:textId="77777777" w:rsidR="007421A9" w:rsidRPr="00245663" w:rsidRDefault="007421A9" w:rsidP="009506EF">
            <w:pPr>
              <w:jc w:val="center"/>
              <w:rPr>
                <w:rFonts w:cs="Arial"/>
                <w:bCs/>
                <w:noProof/>
                <w:szCs w:val="24"/>
              </w:rPr>
            </w:pPr>
            <w:r w:rsidRPr="00245663">
              <w:rPr>
                <w:rFonts w:cs="Arial"/>
                <w:bCs/>
                <w:noProof/>
                <w:szCs w:val="24"/>
              </w:rPr>
              <w:t>10,000 to 135,000</w:t>
            </w:r>
          </w:p>
        </w:tc>
        <w:tc>
          <w:tcPr>
            <w:tcW w:w="2250" w:type="dxa"/>
            <w:shd w:val="clear" w:color="auto" w:fill="auto"/>
            <w:vAlign w:val="center"/>
          </w:tcPr>
          <w:p w14:paraId="45BD4DD3" w14:textId="77777777" w:rsidR="007421A9" w:rsidRPr="00245663" w:rsidRDefault="007421A9" w:rsidP="009506EF">
            <w:pPr>
              <w:jc w:val="center"/>
              <w:rPr>
                <w:rFonts w:cs="Arial"/>
                <w:bCs/>
                <w:noProof/>
                <w:szCs w:val="24"/>
              </w:rPr>
            </w:pPr>
            <w:r w:rsidRPr="00245663">
              <w:rPr>
                <w:rFonts w:cs="Arial"/>
                <w:bCs/>
                <w:noProof/>
                <w:szCs w:val="24"/>
              </w:rPr>
              <w:t>1 or 2</w:t>
            </w:r>
          </w:p>
        </w:tc>
        <w:tc>
          <w:tcPr>
            <w:tcW w:w="2160" w:type="dxa"/>
            <w:shd w:val="clear" w:color="auto" w:fill="auto"/>
            <w:vAlign w:val="center"/>
          </w:tcPr>
          <w:p w14:paraId="0A5F7325" w14:textId="77777777" w:rsidR="007421A9" w:rsidRPr="00245663" w:rsidRDefault="007421A9" w:rsidP="009506EF">
            <w:pPr>
              <w:jc w:val="center"/>
              <w:rPr>
                <w:rFonts w:cs="Arial"/>
                <w:bCs/>
                <w:noProof/>
                <w:szCs w:val="24"/>
              </w:rPr>
            </w:pPr>
            <w:r w:rsidRPr="00245663">
              <w:rPr>
                <w:rFonts w:cs="Arial"/>
                <w:bCs/>
                <w:noProof/>
                <w:szCs w:val="24"/>
              </w:rPr>
              <w:t>200</w:t>
            </w:r>
          </w:p>
        </w:tc>
      </w:tr>
      <w:tr w:rsidR="007421A9" w:rsidRPr="006D5F97" w14:paraId="2D9A00F3" w14:textId="77777777" w:rsidTr="009506EF">
        <w:trPr>
          <w:cantSplit/>
          <w:trHeight w:val="279"/>
          <w:tblHeader/>
        </w:trPr>
        <w:tc>
          <w:tcPr>
            <w:tcW w:w="1737" w:type="dxa"/>
            <w:vMerge/>
            <w:shd w:val="clear" w:color="auto" w:fill="auto"/>
          </w:tcPr>
          <w:p w14:paraId="0E9DC867" w14:textId="77777777" w:rsidR="007421A9" w:rsidRPr="00245663" w:rsidRDefault="007421A9" w:rsidP="009506EF">
            <w:pPr>
              <w:jc w:val="center"/>
              <w:rPr>
                <w:rFonts w:cs="Arial"/>
                <w:bCs/>
                <w:noProof/>
                <w:szCs w:val="24"/>
              </w:rPr>
            </w:pPr>
          </w:p>
        </w:tc>
        <w:tc>
          <w:tcPr>
            <w:tcW w:w="2040" w:type="dxa"/>
            <w:vMerge/>
            <w:tcBorders>
              <w:bottom w:val="nil"/>
            </w:tcBorders>
            <w:shd w:val="clear" w:color="auto" w:fill="auto"/>
          </w:tcPr>
          <w:p w14:paraId="561DC785" w14:textId="77777777" w:rsidR="007421A9" w:rsidRPr="00245663" w:rsidRDefault="007421A9" w:rsidP="009506EF">
            <w:pPr>
              <w:jc w:val="center"/>
              <w:rPr>
                <w:rFonts w:cs="Arial"/>
                <w:bCs/>
                <w:noProof/>
                <w:szCs w:val="24"/>
              </w:rPr>
            </w:pPr>
          </w:p>
        </w:tc>
        <w:tc>
          <w:tcPr>
            <w:tcW w:w="2250" w:type="dxa"/>
            <w:shd w:val="clear" w:color="auto" w:fill="auto"/>
            <w:vAlign w:val="center"/>
          </w:tcPr>
          <w:p w14:paraId="4F7C2AAF" w14:textId="77777777" w:rsidR="007421A9" w:rsidRPr="00245663" w:rsidRDefault="007421A9" w:rsidP="009506EF">
            <w:pPr>
              <w:jc w:val="center"/>
              <w:rPr>
                <w:rFonts w:cs="Arial"/>
                <w:bCs/>
                <w:noProof/>
                <w:szCs w:val="24"/>
              </w:rPr>
            </w:pPr>
            <w:r w:rsidRPr="00245663">
              <w:rPr>
                <w:rFonts w:cs="Arial"/>
                <w:bCs/>
                <w:noProof/>
                <w:szCs w:val="24"/>
              </w:rPr>
              <w:t>3 or Greater</w:t>
            </w:r>
          </w:p>
        </w:tc>
        <w:tc>
          <w:tcPr>
            <w:tcW w:w="2160" w:type="dxa"/>
            <w:shd w:val="clear" w:color="auto" w:fill="auto"/>
            <w:vAlign w:val="center"/>
          </w:tcPr>
          <w:p w14:paraId="697E4E98" w14:textId="77777777" w:rsidR="007421A9" w:rsidRPr="00245663" w:rsidRDefault="007421A9" w:rsidP="009506EF">
            <w:pPr>
              <w:jc w:val="center"/>
              <w:rPr>
                <w:rFonts w:cs="Arial"/>
                <w:bCs/>
                <w:noProof/>
                <w:szCs w:val="24"/>
              </w:rPr>
            </w:pPr>
            <w:r w:rsidRPr="00245663">
              <w:rPr>
                <w:rFonts w:cs="Arial"/>
                <w:bCs/>
                <w:noProof/>
                <w:szCs w:val="24"/>
              </w:rPr>
              <w:t>400</w:t>
            </w:r>
          </w:p>
        </w:tc>
      </w:tr>
      <w:tr w:rsidR="007421A9" w:rsidRPr="006D5F97" w14:paraId="3641318B" w14:textId="77777777" w:rsidTr="009506EF">
        <w:trPr>
          <w:cantSplit/>
          <w:trHeight w:val="279"/>
          <w:tblHeader/>
        </w:trPr>
        <w:tc>
          <w:tcPr>
            <w:tcW w:w="1737" w:type="dxa"/>
            <w:vMerge/>
            <w:tcBorders>
              <w:bottom w:val="nil"/>
            </w:tcBorders>
            <w:shd w:val="clear" w:color="auto" w:fill="auto"/>
          </w:tcPr>
          <w:p w14:paraId="08233B0E" w14:textId="77777777" w:rsidR="007421A9" w:rsidRPr="00245663" w:rsidRDefault="007421A9" w:rsidP="009506EF">
            <w:pPr>
              <w:jc w:val="center"/>
              <w:rPr>
                <w:rFonts w:cs="Arial"/>
                <w:bCs/>
                <w:noProof/>
                <w:szCs w:val="24"/>
              </w:rPr>
            </w:pPr>
          </w:p>
        </w:tc>
        <w:tc>
          <w:tcPr>
            <w:tcW w:w="2040" w:type="dxa"/>
            <w:tcBorders>
              <w:bottom w:val="nil"/>
            </w:tcBorders>
            <w:shd w:val="clear" w:color="auto" w:fill="auto"/>
          </w:tcPr>
          <w:p w14:paraId="4A9D3438" w14:textId="77777777" w:rsidR="007421A9" w:rsidRPr="00245663" w:rsidRDefault="007421A9" w:rsidP="009506EF">
            <w:pPr>
              <w:jc w:val="center"/>
              <w:rPr>
                <w:rFonts w:cs="Arial"/>
                <w:bCs/>
                <w:noProof/>
                <w:szCs w:val="24"/>
              </w:rPr>
            </w:pPr>
            <w:r w:rsidRPr="00245663">
              <w:rPr>
                <w:rFonts w:cs="Arial"/>
                <w:bCs/>
                <w:noProof/>
                <w:szCs w:val="24"/>
              </w:rPr>
              <w:t>Greater than 135,000</w:t>
            </w:r>
          </w:p>
        </w:tc>
        <w:tc>
          <w:tcPr>
            <w:tcW w:w="2250" w:type="dxa"/>
            <w:shd w:val="clear" w:color="auto" w:fill="auto"/>
            <w:vAlign w:val="center"/>
          </w:tcPr>
          <w:p w14:paraId="0BE921A9" w14:textId="77777777" w:rsidR="007421A9" w:rsidRPr="00245663" w:rsidRDefault="007421A9" w:rsidP="009506EF">
            <w:pPr>
              <w:jc w:val="center"/>
              <w:rPr>
                <w:rFonts w:cs="Arial"/>
                <w:bCs/>
                <w:noProof/>
                <w:szCs w:val="24"/>
              </w:rPr>
            </w:pPr>
            <w:r w:rsidRPr="00245663">
              <w:rPr>
                <w:rFonts w:cs="Arial"/>
                <w:bCs/>
                <w:noProof/>
                <w:szCs w:val="24"/>
              </w:rPr>
              <w:t>1 or Greater</w:t>
            </w:r>
          </w:p>
        </w:tc>
        <w:tc>
          <w:tcPr>
            <w:tcW w:w="2160" w:type="dxa"/>
            <w:shd w:val="clear" w:color="auto" w:fill="auto"/>
            <w:vAlign w:val="center"/>
          </w:tcPr>
          <w:p w14:paraId="09BD17A8" w14:textId="77777777" w:rsidR="007421A9" w:rsidRPr="00245663" w:rsidRDefault="007421A9" w:rsidP="009506EF">
            <w:pPr>
              <w:jc w:val="center"/>
              <w:rPr>
                <w:rFonts w:cs="Arial"/>
                <w:bCs/>
                <w:noProof/>
                <w:szCs w:val="24"/>
              </w:rPr>
            </w:pPr>
            <w:r w:rsidRPr="00245663">
              <w:rPr>
                <w:rFonts w:cs="Arial"/>
                <w:bCs/>
                <w:noProof/>
                <w:szCs w:val="24"/>
              </w:rPr>
              <w:t>400</w:t>
            </w:r>
          </w:p>
        </w:tc>
      </w:tr>
      <w:tr w:rsidR="007421A9" w:rsidRPr="006D5F97" w14:paraId="56AEC1CC" w14:textId="77777777" w:rsidTr="009506EF">
        <w:trPr>
          <w:cantSplit/>
          <w:trHeight w:val="188"/>
          <w:tblHeader/>
        </w:trPr>
        <w:tc>
          <w:tcPr>
            <w:tcW w:w="1737" w:type="dxa"/>
            <w:vMerge w:val="restart"/>
            <w:shd w:val="clear" w:color="auto" w:fill="auto"/>
          </w:tcPr>
          <w:p w14:paraId="7E166D18" w14:textId="77777777" w:rsidR="007421A9" w:rsidRPr="00245663" w:rsidRDefault="007421A9" w:rsidP="009506EF">
            <w:pPr>
              <w:jc w:val="center"/>
              <w:rPr>
                <w:rFonts w:cs="Arial"/>
                <w:bCs/>
                <w:noProof/>
                <w:szCs w:val="24"/>
              </w:rPr>
            </w:pPr>
            <w:r w:rsidRPr="00245663">
              <w:rPr>
                <w:rFonts w:cs="Arial"/>
                <w:bCs/>
                <w:noProof/>
                <w:szCs w:val="24"/>
              </w:rPr>
              <w:t>Warehouse</w:t>
            </w:r>
          </w:p>
        </w:tc>
        <w:tc>
          <w:tcPr>
            <w:tcW w:w="2040" w:type="dxa"/>
            <w:vMerge w:val="restart"/>
            <w:shd w:val="clear" w:color="auto" w:fill="auto"/>
          </w:tcPr>
          <w:p w14:paraId="3D643C7D" w14:textId="77777777" w:rsidR="007421A9" w:rsidRPr="00245663" w:rsidRDefault="007421A9" w:rsidP="009506EF">
            <w:pPr>
              <w:jc w:val="center"/>
              <w:rPr>
                <w:rFonts w:cs="Arial"/>
                <w:bCs/>
                <w:noProof/>
                <w:szCs w:val="24"/>
              </w:rPr>
            </w:pPr>
            <w:r w:rsidRPr="00245663">
              <w:rPr>
                <w:rFonts w:cs="Arial"/>
                <w:bCs/>
                <w:noProof/>
                <w:szCs w:val="24"/>
              </w:rPr>
              <w:t>20,000 to 256,000</w:t>
            </w:r>
          </w:p>
        </w:tc>
        <w:tc>
          <w:tcPr>
            <w:tcW w:w="2250" w:type="dxa"/>
            <w:shd w:val="clear" w:color="auto" w:fill="auto"/>
            <w:vAlign w:val="center"/>
          </w:tcPr>
          <w:p w14:paraId="49714A2C" w14:textId="77777777" w:rsidR="007421A9" w:rsidRPr="00245663" w:rsidRDefault="007421A9" w:rsidP="009506EF">
            <w:pPr>
              <w:jc w:val="center"/>
              <w:rPr>
                <w:rFonts w:cs="Arial"/>
                <w:bCs/>
                <w:noProof/>
                <w:szCs w:val="24"/>
              </w:rPr>
            </w:pPr>
            <w:r w:rsidRPr="00245663">
              <w:rPr>
                <w:rFonts w:cs="Arial"/>
                <w:bCs/>
                <w:noProof/>
                <w:szCs w:val="24"/>
              </w:rPr>
              <w:t>1 or 2</w:t>
            </w:r>
          </w:p>
        </w:tc>
        <w:tc>
          <w:tcPr>
            <w:tcW w:w="2160" w:type="dxa"/>
            <w:shd w:val="clear" w:color="auto" w:fill="auto"/>
            <w:vAlign w:val="center"/>
          </w:tcPr>
          <w:p w14:paraId="1A374DC2" w14:textId="77777777" w:rsidR="007421A9" w:rsidRPr="00245663" w:rsidRDefault="007421A9" w:rsidP="009506EF">
            <w:pPr>
              <w:jc w:val="center"/>
              <w:rPr>
                <w:rFonts w:cs="Arial"/>
                <w:bCs/>
                <w:noProof/>
                <w:szCs w:val="24"/>
              </w:rPr>
            </w:pPr>
            <w:r w:rsidRPr="00245663">
              <w:rPr>
                <w:rFonts w:cs="Arial"/>
                <w:bCs/>
                <w:noProof/>
                <w:szCs w:val="24"/>
              </w:rPr>
              <w:t>200</w:t>
            </w:r>
          </w:p>
        </w:tc>
      </w:tr>
      <w:tr w:rsidR="007421A9" w:rsidRPr="006D5F97" w14:paraId="6E63F257" w14:textId="77777777" w:rsidTr="009506EF">
        <w:trPr>
          <w:cantSplit/>
          <w:trHeight w:val="188"/>
          <w:tblHeader/>
        </w:trPr>
        <w:tc>
          <w:tcPr>
            <w:tcW w:w="1737" w:type="dxa"/>
            <w:vMerge/>
            <w:shd w:val="clear" w:color="auto" w:fill="auto"/>
          </w:tcPr>
          <w:p w14:paraId="094DA367" w14:textId="77777777" w:rsidR="007421A9" w:rsidRPr="00245663" w:rsidRDefault="007421A9" w:rsidP="009506EF">
            <w:pPr>
              <w:jc w:val="center"/>
              <w:rPr>
                <w:rFonts w:cs="Arial"/>
                <w:bCs/>
                <w:noProof/>
                <w:szCs w:val="24"/>
              </w:rPr>
            </w:pPr>
          </w:p>
        </w:tc>
        <w:tc>
          <w:tcPr>
            <w:tcW w:w="2040" w:type="dxa"/>
            <w:vMerge/>
            <w:tcBorders>
              <w:bottom w:val="nil"/>
            </w:tcBorders>
            <w:shd w:val="clear" w:color="auto" w:fill="auto"/>
          </w:tcPr>
          <w:p w14:paraId="0282564D" w14:textId="77777777" w:rsidR="007421A9" w:rsidRPr="00245663" w:rsidRDefault="007421A9" w:rsidP="009506EF">
            <w:pPr>
              <w:jc w:val="center"/>
              <w:rPr>
                <w:rFonts w:cs="Arial"/>
                <w:bCs/>
                <w:noProof/>
                <w:szCs w:val="24"/>
              </w:rPr>
            </w:pPr>
          </w:p>
        </w:tc>
        <w:tc>
          <w:tcPr>
            <w:tcW w:w="2250" w:type="dxa"/>
            <w:shd w:val="clear" w:color="auto" w:fill="auto"/>
            <w:vAlign w:val="center"/>
          </w:tcPr>
          <w:p w14:paraId="5D357E12" w14:textId="77777777" w:rsidR="007421A9" w:rsidRPr="00245663" w:rsidRDefault="007421A9" w:rsidP="009506EF">
            <w:pPr>
              <w:jc w:val="center"/>
              <w:rPr>
                <w:rFonts w:cs="Arial"/>
                <w:bCs/>
                <w:noProof/>
                <w:szCs w:val="24"/>
              </w:rPr>
            </w:pPr>
            <w:r w:rsidRPr="00245663">
              <w:rPr>
                <w:rFonts w:cs="Arial"/>
                <w:bCs/>
                <w:noProof/>
                <w:szCs w:val="24"/>
              </w:rPr>
              <w:t>3 or Greater</w:t>
            </w:r>
          </w:p>
        </w:tc>
        <w:tc>
          <w:tcPr>
            <w:tcW w:w="2160" w:type="dxa"/>
            <w:shd w:val="clear" w:color="auto" w:fill="auto"/>
            <w:vAlign w:val="center"/>
          </w:tcPr>
          <w:p w14:paraId="683257EC" w14:textId="77777777" w:rsidR="007421A9" w:rsidRPr="00245663" w:rsidRDefault="007421A9" w:rsidP="009506EF">
            <w:pPr>
              <w:jc w:val="center"/>
              <w:rPr>
                <w:rFonts w:cs="Arial"/>
                <w:bCs/>
                <w:noProof/>
                <w:szCs w:val="24"/>
              </w:rPr>
            </w:pPr>
            <w:r w:rsidRPr="00245663">
              <w:rPr>
                <w:rFonts w:cs="Arial"/>
                <w:bCs/>
                <w:noProof/>
                <w:szCs w:val="24"/>
              </w:rPr>
              <w:t>400</w:t>
            </w:r>
          </w:p>
        </w:tc>
      </w:tr>
      <w:tr w:rsidR="007421A9" w:rsidRPr="006D5F97" w14:paraId="414B4BD5" w14:textId="77777777" w:rsidTr="009506EF">
        <w:trPr>
          <w:cantSplit/>
          <w:trHeight w:val="188"/>
          <w:tblHeader/>
        </w:trPr>
        <w:tc>
          <w:tcPr>
            <w:tcW w:w="1737" w:type="dxa"/>
            <w:vMerge/>
            <w:tcBorders>
              <w:bottom w:val="single" w:sz="4" w:space="0" w:color="auto"/>
            </w:tcBorders>
            <w:shd w:val="clear" w:color="auto" w:fill="auto"/>
          </w:tcPr>
          <w:p w14:paraId="0B54EC3E" w14:textId="77777777" w:rsidR="007421A9" w:rsidRPr="00245663" w:rsidRDefault="007421A9" w:rsidP="009506EF">
            <w:pPr>
              <w:jc w:val="center"/>
              <w:rPr>
                <w:rFonts w:cs="Arial"/>
                <w:bCs/>
                <w:noProof/>
                <w:szCs w:val="24"/>
              </w:rPr>
            </w:pPr>
          </w:p>
        </w:tc>
        <w:tc>
          <w:tcPr>
            <w:tcW w:w="2040" w:type="dxa"/>
            <w:tcBorders>
              <w:bottom w:val="nil"/>
            </w:tcBorders>
            <w:shd w:val="clear" w:color="auto" w:fill="auto"/>
          </w:tcPr>
          <w:p w14:paraId="53F7CB15" w14:textId="77777777" w:rsidR="007421A9" w:rsidRPr="00245663" w:rsidRDefault="007421A9" w:rsidP="009506EF">
            <w:pPr>
              <w:jc w:val="center"/>
              <w:rPr>
                <w:rFonts w:cs="Arial"/>
                <w:bCs/>
                <w:noProof/>
                <w:szCs w:val="24"/>
              </w:rPr>
            </w:pPr>
            <w:r w:rsidRPr="00245663">
              <w:rPr>
                <w:rFonts w:cs="Arial"/>
                <w:bCs/>
                <w:noProof/>
                <w:szCs w:val="24"/>
              </w:rPr>
              <w:t>Greater than 256,000</w:t>
            </w:r>
          </w:p>
        </w:tc>
        <w:tc>
          <w:tcPr>
            <w:tcW w:w="2250" w:type="dxa"/>
            <w:shd w:val="clear" w:color="auto" w:fill="auto"/>
            <w:vAlign w:val="center"/>
          </w:tcPr>
          <w:p w14:paraId="6436C62F" w14:textId="77777777" w:rsidR="007421A9" w:rsidRPr="00245663" w:rsidRDefault="007421A9" w:rsidP="009506EF">
            <w:pPr>
              <w:jc w:val="center"/>
              <w:rPr>
                <w:rFonts w:cs="Arial"/>
                <w:bCs/>
                <w:noProof/>
                <w:szCs w:val="24"/>
              </w:rPr>
            </w:pPr>
            <w:r w:rsidRPr="00245663">
              <w:rPr>
                <w:rFonts w:cs="Arial"/>
                <w:bCs/>
                <w:noProof/>
                <w:szCs w:val="24"/>
              </w:rPr>
              <w:t>1 or Greater</w:t>
            </w:r>
          </w:p>
        </w:tc>
        <w:tc>
          <w:tcPr>
            <w:tcW w:w="2160" w:type="dxa"/>
            <w:shd w:val="clear" w:color="auto" w:fill="auto"/>
            <w:vAlign w:val="center"/>
          </w:tcPr>
          <w:p w14:paraId="245DE5F2" w14:textId="77777777" w:rsidR="007421A9" w:rsidRPr="00245663" w:rsidRDefault="007421A9" w:rsidP="009506EF">
            <w:pPr>
              <w:jc w:val="center"/>
              <w:rPr>
                <w:rFonts w:cs="Arial"/>
                <w:bCs/>
                <w:noProof/>
                <w:szCs w:val="24"/>
              </w:rPr>
            </w:pPr>
            <w:r w:rsidRPr="00245663">
              <w:rPr>
                <w:rFonts w:cs="Arial"/>
                <w:bCs/>
                <w:noProof/>
                <w:szCs w:val="24"/>
              </w:rPr>
              <w:t>400</w:t>
            </w:r>
          </w:p>
        </w:tc>
      </w:tr>
      <w:tr w:rsidR="007421A9" w:rsidRPr="006D5F97" w14:paraId="2040F449" w14:textId="77777777" w:rsidTr="009506EF">
        <w:trPr>
          <w:cantSplit/>
          <w:trHeight w:val="494"/>
          <w:tblHeader/>
        </w:trPr>
        <w:tc>
          <w:tcPr>
            <w:tcW w:w="1737" w:type="dxa"/>
            <w:tcBorders>
              <w:top w:val="single" w:sz="4" w:space="0" w:color="auto"/>
              <w:bottom w:val="nil"/>
            </w:tcBorders>
            <w:shd w:val="clear" w:color="auto" w:fill="auto"/>
          </w:tcPr>
          <w:p w14:paraId="00A8F8D5" w14:textId="77777777" w:rsidR="007421A9" w:rsidRPr="00245663" w:rsidRDefault="007421A9" w:rsidP="009506EF">
            <w:pPr>
              <w:jc w:val="center"/>
              <w:rPr>
                <w:rFonts w:cs="Arial"/>
                <w:bCs/>
                <w:noProof/>
                <w:szCs w:val="24"/>
                <w:u w:val="single"/>
              </w:rPr>
            </w:pPr>
            <w:r w:rsidRPr="00245663">
              <w:rPr>
                <w:rFonts w:cs="Arial"/>
                <w:bCs/>
                <w:noProof/>
                <w:szCs w:val="24"/>
                <w:u w:val="single"/>
              </w:rPr>
              <w:t>Manufacturing Facilities</w:t>
            </w:r>
          </w:p>
        </w:tc>
        <w:tc>
          <w:tcPr>
            <w:tcW w:w="2040" w:type="dxa"/>
            <w:shd w:val="clear" w:color="auto" w:fill="auto"/>
          </w:tcPr>
          <w:p w14:paraId="6D5EBDAC" w14:textId="77777777" w:rsidR="007421A9" w:rsidRPr="00245663" w:rsidRDefault="007421A9" w:rsidP="009506EF">
            <w:pPr>
              <w:jc w:val="center"/>
              <w:rPr>
                <w:rFonts w:cs="Arial"/>
                <w:bCs/>
                <w:noProof/>
                <w:szCs w:val="24"/>
                <w:u w:val="single"/>
              </w:rPr>
            </w:pPr>
            <w:r w:rsidRPr="00245663">
              <w:rPr>
                <w:rFonts w:cs="Arial"/>
                <w:bCs/>
                <w:noProof/>
                <w:szCs w:val="24"/>
                <w:u w:val="single"/>
              </w:rPr>
              <w:t>10,000 to 50,000</w:t>
            </w:r>
          </w:p>
        </w:tc>
        <w:tc>
          <w:tcPr>
            <w:tcW w:w="2250" w:type="dxa"/>
            <w:shd w:val="clear" w:color="auto" w:fill="auto"/>
            <w:vAlign w:val="center"/>
          </w:tcPr>
          <w:p w14:paraId="669F5576" w14:textId="77777777" w:rsidR="007421A9" w:rsidRPr="00245663" w:rsidRDefault="007421A9" w:rsidP="009506EF">
            <w:pPr>
              <w:jc w:val="center"/>
              <w:rPr>
                <w:rFonts w:cs="Arial"/>
                <w:bCs/>
                <w:noProof/>
                <w:szCs w:val="24"/>
                <w:u w:val="single"/>
              </w:rPr>
            </w:pPr>
            <w:r w:rsidRPr="00245663">
              <w:rPr>
                <w:rFonts w:cs="Arial"/>
                <w:bCs/>
                <w:noProof/>
                <w:szCs w:val="24"/>
                <w:u w:val="single"/>
              </w:rPr>
              <w:t>1 or 2</w:t>
            </w:r>
          </w:p>
        </w:tc>
        <w:tc>
          <w:tcPr>
            <w:tcW w:w="2160" w:type="dxa"/>
            <w:shd w:val="clear" w:color="auto" w:fill="auto"/>
            <w:vAlign w:val="center"/>
          </w:tcPr>
          <w:p w14:paraId="099E7D7E" w14:textId="77777777" w:rsidR="007421A9" w:rsidRPr="00245663" w:rsidRDefault="007421A9" w:rsidP="009506EF">
            <w:pPr>
              <w:jc w:val="center"/>
              <w:rPr>
                <w:rFonts w:cs="Arial"/>
                <w:bCs/>
                <w:noProof/>
                <w:szCs w:val="24"/>
                <w:u w:val="single"/>
              </w:rPr>
            </w:pPr>
            <w:r w:rsidRPr="00245663">
              <w:rPr>
                <w:rFonts w:cs="Arial"/>
                <w:bCs/>
                <w:noProof/>
                <w:szCs w:val="24"/>
                <w:u w:val="single"/>
              </w:rPr>
              <w:t>200</w:t>
            </w:r>
          </w:p>
        </w:tc>
      </w:tr>
      <w:tr w:rsidR="007421A9" w:rsidRPr="006D5F97" w14:paraId="669D93B2" w14:textId="77777777" w:rsidTr="009506EF">
        <w:trPr>
          <w:cantSplit/>
          <w:trHeight w:val="494"/>
          <w:tblHeader/>
        </w:trPr>
        <w:tc>
          <w:tcPr>
            <w:tcW w:w="1737" w:type="dxa"/>
            <w:tcBorders>
              <w:top w:val="nil"/>
              <w:bottom w:val="nil"/>
            </w:tcBorders>
            <w:shd w:val="clear" w:color="auto" w:fill="auto"/>
          </w:tcPr>
          <w:p w14:paraId="76E8601F" w14:textId="77777777" w:rsidR="007421A9" w:rsidRPr="00245663" w:rsidRDefault="007421A9" w:rsidP="009506EF">
            <w:pPr>
              <w:jc w:val="center"/>
              <w:rPr>
                <w:rFonts w:cs="Arial"/>
                <w:bCs/>
                <w:noProof/>
                <w:color w:val="FFFFFF"/>
                <w:szCs w:val="24"/>
                <w:u w:val="single"/>
              </w:rPr>
            </w:pPr>
            <w:r w:rsidRPr="00245663">
              <w:rPr>
                <w:rFonts w:cs="Arial"/>
                <w:bCs/>
                <w:noProof/>
                <w:color w:val="FFFFFF"/>
                <w:szCs w:val="24"/>
                <w:u w:val="single"/>
              </w:rPr>
              <w:t>Manufacturing Facilities</w:t>
            </w:r>
          </w:p>
        </w:tc>
        <w:tc>
          <w:tcPr>
            <w:tcW w:w="2040" w:type="dxa"/>
            <w:shd w:val="clear" w:color="auto" w:fill="auto"/>
          </w:tcPr>
          <w:p w14:paraId="4BBC69AA" w14:textId="77777777" w:rsidR="007421A9" w:rsidRPr="00245663" w:rsidRDefault="007421A9" w:rsidP="009506EF">
            <w:pPr>
              <w:jc w:val="center"/>
              <w:rPr>
                <w:rFonts w:cs="Arial"/>
                <w:bCs/>
                <w:noProof/>
                <w:szCs w:val="24"/>
                <w:u w:val="single"/>
              </w:rPr>
            </w:pPr>
            <w:r w:rsidRPr="00245663">
              <w:rPr>
                <w:rFonts w:cs="Arial"/>
                <w:bCs/>
                <w:noProof/>
                <w:szCs w:val="24"/>
                <w:u w:val="single"/>
              </w:rPr>
              <w:t>10,000 to 50,000</w:t>
            </w:r>
          </w:p>
        </w:tc>
        <w:tc>
          <w:tcPr>
            <w:tcW w:w="2250" w:type="dxa"/>
            <w:shd w:val="clear" w:color="auto" w:fill="auto"/>
            <w:vAlign w:val="center"/>
          </w:tcPr>
          <w:p w14:paraId="162E87E3" w14:textId="77777777" w:rsidR="007421A9" w:rsidRPr="00245663" w:rsidRDefault="007421A9" w:rsidP="009506EF">
            <w:pPr>
              <w:jc w:val="center"/>
              <w:rPr>
                <w:rFonts w:cs="Arial"/>
                <w:bCs/>
                <w:noProof/>
                <w:szCs w:val="24"/>
                <w:u w:val="single"/>
              </w:rPr>
            </w:pPr>
            <w:r w:rsidRPr="00245663">
              <w:rPr>
                <w:rFonts w:cs="Arial"/>
                <w:bCs/>
                <w:noProof/>
                <w:szCs w:val="24"/>
                <w:u w:val="single"/>
              </w:rPr>
              <w:t>3 or Greater</w:t>
            </w:r>
          </w:p>
        </w:tc>
        <w:tc>
          <w:tcPr>
            <w:tcW w:w="2160" w:type="dxa"/>
            <w:shd w:val="clear" w:color="auto" w:fill="auto"/>
            <w:vAlign w:val="center"/>
          </w:tcPr>
          <w:p w14:paraId="121FBCE0" w14:textId="77777777" w:rsidR="007421A9" w:rsidRPr="00245663" w:rsidRDefault="007421A9" w:rsidP="009506EF">
            <w:pPr>
              <w:jc w:val="center"/>
              <w:rPr>
                <w:rFonts w:cs="Arial"/>
                <w:bCs/>
                <w:noProof/>
                <w:szCs w:val="24"/>
                <w:u w:val="single"/>
              </w:rPr>
            </w:pPr>
            <w:r w:rsidRPr="00245663">
              <w:rPr>
                <w:rFonts w:cs="Arial"/>
                <w:bCs/>
                <w:noProof/>
                <w:szCs w:val="24"/>
                <w:u w:val="single"/>
              </w:rPr>
              <w:t>400</w:t>
            </w:r>
          </w:p>
        </w:tc>
      </w:tr>
      <w:tr w:rsidR="007421A9" w:rsidRPr="006D5F97" w14:paraId="20FAD503" w14:textId="77777777" w:rsidTr="009506EF">
        <w:trPr>
          <w:cantSplit/>
          <w:trHeight w:val="494"/>
          <w:tblHeader/>
        </w:trPr>
        <w:tc>
          <w:tcPr>
            <w:tcW w:w="1737" w:type="dxa"/>
            <w:tcBorders>
              <w:top w:val="nil"/>
              <w:bottom w:val="single" w:sz="4" w:space="0" w:color="auto"/>
            </w:tcBorders>
            <w:shd w:val="clear" w:color="auto" w:fill="auto"/>
          </w:tcPr>
          <w:p w14:paraId="463807F4" w14:textId="77777777" w:rsidR="007421A9" w:rsidRPr="00245663" w:rsidRDefault="007421A9" w:rsidP="009506EF">
            <w:pPr>
              <w:jc w:val="center"/>
              <w:rPr>
                <w:rFonts w:cs="Arial"/>
                <w:bCs/>
                <w:noProof/>
                <w:color w:val="FFFFFF"/>
                <w:szCs w:val="24"/>
                <w:u w:val="single"/>
              </w:rPr>
            </w:pPr>
            <w:r w:rsidRPr="00245663">
              <w:rPr>
                <w:rFonts w:cs="Arial"/>
                <w:bCs/>
                <w:noProof/>
                <w:color w:val="FFFFFF"/>
                <w:szCs w:val="24"/>
                <w:u w:val="single"/>
              </w:rPr>
              <w:t>Manufacturing Facilities</w:t>
            </w:r>
          </w:p>
        </w:tc>
        <w:tc>
          <w:tcPr>
            <w:tcW w:w="2040" w:type="dxa"/>
            <w:shd w:val="clear" w:color="auto" w:fill="auto"/>
          </w:tcPr>
          <w:p w14:paraId="6E95F1E1" w14:textId="77777777" w:rsidR="007421A9" w:rsidRPr="00245663" w:rsidRDefault="007421A9" w:rsidP="009506EF">
            <w:pPr>
              <w:jc w:val="center"/>
              <w:rPr>
                <w:rFonts w:cs="Arial"/>
                <w:bCs/>
                <w:noProof/>
                <w:szCs w:val="24"/>
                <w:u w:val="single"/>
              </w:rPr>
            </w:pPr>
            <w:r w:rsidRPr="00245663">
              <w:rPr>
                <w:rFonts w:cs="Arial"/>
                <w:bCs/>
                <w:noProof/>
                <w:szCs w:val="24"/>
                <w:u w:val="single"/>
              </w:rPr>
              <w:t>Greater than 50,000</w:t>
            </w:r>
          </w:p>
        </w:tc>
        <w:tc>
          <w:tcPr>
            <w:tcW w:w="2250" w:type="dxa"/>
            <w:shd w:val="clear" w:color="auto" w:fill="auto"/>
            <w:vAlign w:val="center"/>
          </w:tcPr>
          <w:p w14:paraId="096D4791" w14:textId="77777777" w:rsidR="007421A9" w:rsidRPr="00245663" w:rsidRDefault="007421A9" w:rsidP="009506EF">
            <w:pPr>
              <w:jc w:val="center"/>
              <w:rPr>
                <w:rFonts w:cs="Arial"/>
                <w:bCs/>
                <w:noProof/>
                <w:szCs w:val="24"/>
                <w:u w:val="single"/>
              </w:rPr>
            </w:pPr>
            <w:r w:rsidRPr="00245663">
              <w:rPr>
                <w:rFonts w:cs="Arial"/>
                <w:bCs/>
                <w:noProof/>
                <w:szCs w:val="24"/>
                <w:u w:val="single"/>
              </w:rPr>
              <w:t>1 or Greater</w:t>
            </w:r>
          </w:p>
        </w:tc>
        <w:tc>
          <w:tcPr>
            <w:tcW w:w="2160" w:type="dxa"/>
            <w:shd w:val="clear" w:color="auto" w:fill="auto"/>
            <w:vAlign w:val="center"/>
          </w:tcPr>
          <w:p w14:paraId="405F3ED9" w14:textId="77777777" w:rsidR="007421A9" w:rsidRPr="00245663" w:rsidRDefault="007421A9" w:rsidP="009506EF">
            <w:pPr>
              <w:jc w:val="center"/>
              <w:rPr>
                <w:rFonts w:cs="Arial"/>
                <w:bCs/>
                <w:noProof/>
                <w:szCs w:val="24"/>
                <w:u w:val="single"/>
              </w:rPr>
            </w:pPr>
            <w:r w:rsidRPr="00245663">
              <w:rPr>
                <w:rFonts w:cs="Arial"/>
                <w:bCs/>
                <w:noProof/>
                <w:szCs w:val="24"/>
                <w:u w:val="single"/>
              </w:rPr>
              <w:t>400</w:t>
            </w:r>
          </w:p>
        </w:tc>
      </w:tr>
      <w:tr w:rsidR="007421A9" w:rsidRPr="006D5F97" w14:paraId="22FB58CC" w14:textId="77777777" w:rsidTr="009506EF">
        <w:trPr>
          <w:cantSplit/>
          <w:trHeight w:val="494"/>
          <w:tblHeader/>
        </w:trPr>
        <w:tc>
          <w:tcPr>
            <w:tcW w:w="1737" w:type="dxa"/>
            <w:tcBorders>
              <w:top w:val="single" w:sz="4" w:space="0" w:color="auto"/>
              <w:bottom w:val="nil"/>
            </w:tcBorders>
            <w:shd w:val="clear" w:color="auto" w:fill="auto"/>
          </w:tcPr>
          <w:p w14:paraId="51CAA72F" w14:textId="77777777" w:rsidR="007421A9" w:rsidRPr="00245663" w:rsidRDefault="007421A9" w:rsidP="009506EF">
            <w:pPr>
              <w:jc w:val="center"/>
              <w:rPr>
                <w:rFonts w:cs="Arial"/>
                <w:bCs/>
                <w:noProof/>
                <w:szCs w:val="24"/>
                <w:u w:val="single"/>
              </w:rPr>
            </w:pPr>
            <w:r w:rsidRPr="00245663">
              <w:rPr>
                <w:rFonts w:cs="Arial"/>
                <w:bCs/>
                <w:noProof/>
                <w:szCs w:val="24"/>
                <w:u w:val="single"/>
              </w:rPr>
              <w:t xml:space="preserve">Office </w:t>
            </w:r>
            <w:r w:rsidRPr="00801B36">
              <w:rPr>
                <w:rFonts w:cs="Arial"/>
                <w:bCs/>
                <w:noProof/>
                <w:szCs w:val="24"/>
                <w:u w:val="single"/>
              </w:rPr>
              <w:t>Buildings</w:t>
            </w:r>
          </w:p>
        </w:tc>
        <w:tc>
          <w:tcPr>
            <w:tcW w:w="2040" w:type="dxa"/>
            <w:shd w:val="clear" w:color="auto" w:fill="auto"/>
          </w:tcPr>
          <w:p w14:paraId="667CA0C5" w14:textId="77777777" w:rsidR="007421A9" w:rsidRPr="00245663" w:rsidRDefault="007421A9" w:rsidP="009506EF">
            <w:pPr>
              <w:jc w:val="center"/>
              <w:rPr>
                <w:rFonts w:cs="Arial"/>
                <w:bCs/>
                <w:noProof/>
                <w:szCs w:val="24"/>
                <w:u w:val="single"/>
              </w:rPr>
            </w:pPr>
            <w:r w:rsidRPr="00245663">
              <w:rPr>
                <w:rFonts w:cs="Arial"/>
                <w:bCs/>
                <w:noProof/>
                <w:szCs w:val="24"/>
                <w:u w:val="single"/>
              </w:rPr>
              <w:t>10,000 to 135,000</w:t>
            </w:r>
          </w:p>
        </w:tc>
        <w:tc>
          <w:tcPr>
            <w:tcW w:w="2250" w:type="dxa"/>
            <w:shd w:val="clear" w:color="auto" w:fill="auto"/>
            <w:vAlign w:val="center"/>
          </w:tcPr>
          <w:p w14:paraId="56309895" w14:textId="77777777" w:rsidR="007421A9" w:rsidRPr="00245663" w:rsidRDefault="007421A9" w:rsidP="009506EF">
            <w:pPr>
              <w:jc w:val="center"/>
              <w:rPr>
                <w:rFonts w:cs="Arial"/>
                <w:bCs/>
                <w:noProof/>
                <w:szCs w:val="24"/>
                <w:u w:val="single"/>
              </w:rPr>
            </w:pPr>
            <w:r w:rsidRPr="00245663">
              <w:rPr>
                <w:rFonts w:cs="Arial"/>
                <w:bCs/>
                <w:noProof/>
                <w:szCs w:val="24"/>
                <w:u w:val="single"/>
              </w:rPr>
              <w:t>1 or 2</w:t>
            </w:r>
          </w:p>
        </w:tc>
        <w:tc>
          <w:tcPr>
            <w:tcW w:w="2160" w:type="dxa"/>
            <w:shd w:val="clear" w:color="auto" w:fill="auto"/>
            <w:vAlign w:val="center"/>
          </w:tcPr>
          <w:p w14:paraId="215A5F00" w14:textId="77777777" w:rsidR="007421A9" w:rsidRPr="00245663" w:rsidRDefault="007421A9" w:rsidP="009506EF">
            <w:pPr>
              <w:jc w:val="center"/>
              <w:rPr>
                <w:rFonts w:cs="Arial"/>
                <w:bCs/>
                <w:noProof/>
                <w:szCs w:val="24"/>
                <w:u w:val="single"/>
              </w:rPr>
            </w:pPr>
            <w:r w:rsidRPr="00245663">
              <w:rPr>
                <w:rFonts w:cs="Arial"/>
                <w:bCs/>
                <w:noProof/>
                <w:szCs w:val="24"/>
                <w:u w:val="single"/>
              </w:rPr>
              <w:t>200</w:t>
            </w:r>
          </w:p>
        </w:tc>
      </w:tr>
      <w:tr w:rsidR="007421A9" w:rsidRPr="006D5F97" w14:paraId="43CEAF1A" w14:textId="77777777" w:rsidTr="009506EF">
        <w:trPr>
          <w:cantSplit/>
          <w:trHeight w:val="494"/>
          <w:tblHeader/>
        </w:trPr>
        <w:tc>
          <w:tcPr>
            <w:tcW w:w="1737" w:type="dxa"/>
            <w:tcBorders>
              <w:top w:val="nil"/>
              <w:bottom w:val="nil"/>
            </w:tcBorders>
            <w:shd w:val="clear" w:color="auto" w:fill="auto"/>
          </w:tcPr>
          <w:p w14:paraId="1F8A3CC3" w14:textId="77777777" w:rsidR="007421A9" w:rsidRPr="00245663" w:rsidRDefault="007421A9" w:rsidP="009506EF">
            <w:pPr>
              <w:rPr>
                <w:rFonts w:cs="Arial"/>
                <w:bCs/>
                <w:noProof/>
                <w:color w:val="FFFFFF"/>
                <w:szCs w:val="24"/>
                <w:u w:val="single"/>
              </w:rPr>
            </w:pPr>
            <w:r w:rsidRPr="00245663">
              <w:rPr>
                <w:rFonts w:cs="Arial"/>
                <w:bCs/>
                <w:noProof/>
                <w:color w:val="FFFFFF"/>
                <w:szCs w:val="24"/>
                <w:u w:val="single"/>
              </w:rPr>
              <w:t>Office Buildings</w:t>
            </w:r>
          </w:p>
        </w:tc>
        <w:tc>
          <w:tcPr>
            <w:tcW w:w="2040" w:type="dxa"/>
            <w:shd w:val="clear" w:color="auto" w:fill="auto"/>
          </w:tcPr>
          <w:p w14:paraId="1549D697" w14:textId="77777777" w:rsidR="007421A9" w:rsidRPr="00245663" w:rsidRDefault="007421A9" w:rsidP="009506EF">
            <w:pPr>
              <w:jc w:val="center"/>
              <w:rPr>
                <w:rFonts w:cs="Arial"/>
                <w:bCs/>
                <w:noProof/>
                <w:szCs w:val="24"/>
                <w:u w:val="single"/>
              </w:rPr>
            </w:pPr>
            <w:r w:rsidRPr="00245663">
              <w:rPr>
                <w:rFonts w:cs="Arial"/>
                <w:bCs/>
                <w:noProof/>
                <w:szCs w:val="24"/>
                <w:u w:val="single"/>
              </w:rPr>
              <w:t>10,000 to 135,000</w:t>
            </w:r>
          </w:p>
        </w:tc>
        <w:tc>
          <w:tcPr>
            <w:tcW w:w="2250" w:type="dxa"/>
            <w:shd w:val="clear" w:color="auto" w:fill="auto"/>
            <w:vAlign w:val="center"/>
          </w:tcPr>
          <w:p w14:paraId="4CBA18D9" w14:textId="77777777" w:rsidR="007421A9" w:rsidRPr="00245663" w:rsidRDefault="007421A9" w:rsidP="009506EF">
            <w:pPr>
              <w:jc w:val="center"/>
              <w:rPr>
                <w:rFonts w:cs="Arial"/>
                <w:bCs/>
                <w:noProof/>
                <w:szCs w:val="24"/>
                <w:u w:val="single"/>
              </w:rPr>
            </w:pPr>
            <w:r w:rsidRPr="00245663">
              <w:rPr>
                <w:rFonts w:cs="Arial"/>
                <w:bCs/>
                <w:noProof/>
                <w:szCs w:val="24"/>
                <w:u w:val="single"/>
              </w:rPr>
              <w:t>3 or Greater</w:t>
            </w:r>
          </w:p>
        </w:tc>
        <w:tc>
          <w:tcPr>
            <w:tcW w:w="2160" w:type="dxa"/>
            <w:shd w:val="clear" w:color="auto" w:fill="auto"/>
            <w:vAlign w:val="center"/>
          </w:tcPr>
          <w:p w14:paraId="1A582D4D" w14:textId="77777777" w:rsidR="007421A9" w:rsidRPr="00245663" w:rsidRDefault="007421A9" w:rsidP="009506EF">
            <w:pPr>
              <w:jc w:val="center"/>
              <w:rPr>
                <w:rFonts w:cs="Arial"/>
                <w:bCs/>
                <w:noProof/>
                <w:szCs w:val="24"/>
                <w:u w:val="single"/>
              </w:rPr>
            </w:pPr>
            <w:r w:rsidRPr="00245663">
              <w:rPr>
                <w:rFonts w:cs="Arial"/>
                <w:bCs/>
                <w:noProof/>
                <w:szCs w:val="24"/>
                <w:u w:val="single"/>
              </w:rPr>
              <w:t>400</w:t>
            </w:r>
          </w:p>
        </w:tc>
      </w:tr>
      <w:tr w:rsidR="007421A9" w:rsidRPr="006D5F97" w14:paraId="373C8178" w14:textId="77777777" w:rsidTr="009506EF">
        <w:trPr>
          <w:cantSplit/>
          <w:trHeight w:val="494"/>
          <w:tblHeader/>
        </w:trPr>
        <w:tc>
          <w:tcPr>
            <w:tcW w:w="1737" w:type="dxa"/>
            <w:tcBorders>
              <w:top w:val="nil"/>
            </w:tcBorders>
            <w:shd w:val="clear" w:color="auto" w:fill="auto"/>
          </w:tcPr>
          <w:p w14:paraId="6B2040E6" w14:textId="77777777" w:rsidR="007421A9" w:rsidRPr="00245663" w:rsidRDefault="007421A9" w:rsidP="009506EF">
            <w:pPr>
              <w:rPr>
                <w:rFonts w:cs="Arial"/>
                <w:bCs/>
                <w:noProof/>
                <w:color w:val="FFFFFF"/>
                <w:szCs w:val="24"/>
                <w:u w:val="single"/>
              </w:rPr>
            </w:pPr>
            <w:r w:rsidRPr="00245663">
              <w:rPr>
                <w:rFonts w:cs="Arial"/>
                <w:bCs/>
                <w:noProof/>
                <w:color w:val="FFFFFF"/>
                <w:szCs w:val="24"/>
                <w:u w:val="single"/>
              </w:rPr>
              <w:t xml:space="preserve">Office Buildings </w:t>
            </w:r>
          </w:p>
        </w:tc>
        <w:tc>
          <w:tcPr>
            <w:tcW w:w="2040" w:type="dxa"/>
            <w:shd w:val="clear" w:color="auto" w:fill="auto"/>
          </w:tcPr>
          <w:p w14:paraId="4F66AA32" w14:textId="77777777" w:rsidR="007421A9" w:rsidRPr="00245663" w:rsidRDefault="007421A9" w:rsidP="009506EF">
            <w:pPr>
              <w:jc w:val="center"/>
              <w:rPr>
                <w:rFonts w:cs="Arial"/>
                <w:bCs/>
                <w:noProof/>
                <w:szCs w:val="24"/>
                <w:u w:val="single"/>
              </w:rPr>
            </w:pPr>
            <w:r w:rsidRPr="00245663">
              <w:rPr>
                <w:rFonts w:cs="Arial"/>
                <w:bCs/>
                <w:noProof/>
                <w:szCs w:val="24"/>
                <w:u w:val="single"/>
              </w:rPr>
              <w:t>Greater than 135,000</w:t>
            </w:r>
          </w:p>
        </w:tc>
        <w:tc>
          <w:tcPr>
            <w:tcW w:w="2250" w:type="dxa"/>
            <w:shd w:val="clear" w:color="auto" w:fill="auto"/>
            <w:vAlign w:val="center"/>
          </w:tcPr>
          <w:p w14:paraId="309C16B5" w14:textId="77777777" w:rsidR="007421A9" w:rsidRPr="00245663" w:rsidRDefault="007421A9" w:rsidP="009506EF">
            <w:pPr>
              <w:jc w:val="center"/>
              <w:rPr>
                <w:rFonts w:cs="Arial"/>
                <w:bCs/>
                <w:noProof/>
                <w:szCs w:val="24"/>
                <w:u w:val="single"/>
              </w:rPr>
            </w:pPr>
            <w:r w:rsidRPr="00245663">
              <w:rPr>
                <w:rFonts w:cs="Arial"/>
                <w:bCs/>
                <w:noProof/>
                <w:szCs w:val="24"/>
                <w:u w:val="single"/>
              </w:rPr>
              <w:t>1 or Greater</w:t>
            </w:r>
          </w:p>
        </w:tc>
        <w:tc>
          <w:tcPr>
            <w:tcW w:w="2160" w:type="dxa"/>
            <w:shd w:val="clear" w:color="auto" w:fill="auto"/>
            <w:vAlign w:val="center"/>
          </w:tcPr>
          <w:p w14:paraId="6F1FEFB9" w14:textId="77777777" w:rsidR="007421A9" w:rsidRPr="00245663" w:rsidRDefault="007421A9" w:rsidP="009506EF">
            <w:pPr>
              <w:jc w:val="center"/>
              <w:rPr>
                <w:rFonts w:cs="Arial"/>
                <w:bCs/>
                <w:noProof/>
                <w:szCs w:val="24"/>
                <w:u w:val="single"/>
              </w:rPr>
            </w:pPr>
            <w:r w:rsidRPr="00245663">
              <w:rPr>
                <w:rFonts w:cs="Arial"/>
                <w:bCs/>
                <w:noProof/>
                <w:szCs w:val="24"/>
                <w:u w:val="single"/>
              </w:rPr>
              <w:t>400</w:t>
            </w:r>
          </w:p>
        </w:tc>
      </w:tr>
    </w:tbl>
    <w:p w14:paraId="273FBCC6" w14:textId="77777777" w:rsidR="007421A9" w:rsidRPr="00A37130" w:rsidRDefault="007421A9" w:rsidP="007421A9">
      <w:pPr>
        <w:spacing w:after="160" w:line="259" w:lineRule="auto"/>
        <w:rPr>
          <w:rFonts w:cs="Arial"/>
          <w:b/>
          <w:bCs/>
          <w:szCs w:val="24"/>
          <w:u w:val="single"/>
        </w:rPr>
      </w:pPr>
    </w:p>
    <w:p w14:paraId="5339CC26" w14:textId="77777777" w:rsidR="007421A9" w:rsidRPr="007B155F" w:rsidRDefault="007421A9" w:rsidP="007421A9">
      <w:pPr>
        <w:pStyle w:val="NormalWeb"/>
      </w:pPr>
      <w:r w:rsidRPr="007B155F">
        <w:rPr>
          <w:b/>
          <w:bCs/>
        </w:rPr>
        <w:t>Appendix A</w:t>
      </w:r>
      <w:r>
        <w:rPr>
          <w:b/>
          <w:bCs/>
        </w:rPr>
        <w:t>5</w:t>
      </w:r>
      <w:r w:rsidRPr="007B155F">
        <w:rPr>
          <w:b/>
          <w:bCs/>
        </w:rPr>
        <w:t xml:space="preserve"> </w:t>
      </w:r>
      <w:r>
        <w:rPr>
          <w:b/>
          <w:bCs/>
        </w:rPr>
        <w:t>Nonr</w:t>
      </w:r>
      <w:r w:rsidRPr="007B155F">
        <w:rPr>
          <w:b/>
          <w:bCs/>
        </w:rPr>
        <w:t>esidential Voluntary Measures</w:t>
      </w:r>
      <w:r>
        <w:rPr>
          <w:b/>
          <w:bCs/>
        </w:rPr>
        <w:t>,</w:t>
      </w:r>
      <w:r w:rsidRPr="007B155F">
        <w:rPr>
          <w:b/>
          <w:bCs/>
        </w:rPr>
        <w:t xml:space="preserve"> </w:t>
      </w:r>
      <w:r>
        <w:rPr>
          <w:b/>
          <w:bCs/>
        </w:rPr>
        <w:t>Section A5.</w:t>
      </w:r>
      <w:r w:rsidRPr="007B155F">
        <w:rPr>
          <w:b/>
          <w:bCs/>
        </w:rPr>
        <w:t>106.5.3</w:t>
      </w:r>
      <w:r w:rsidRPr="007B155F">
        <w:rPr>
          <w:rFonts w:eastAsia="Calibri" w:cs="Arial"/>
          <w:b/>
          <w:bCs/>
        </w:rPr>
        <w:t xml:space="preserve"> </w:t>
      </w:r>
      <w:r w:rsidRPr="007B155F">
        <w:rPr>
          <w:rStyle w:val="StyleBold"/>
          <w:rFonts w:eastAsia="Batang"/>
        </w:rPr>
        <w:t>Electric vehicle (EV) charging</w:t>
      </w:r>
      <w:r w:rsidRPr="007B155F">
        <w:rPr>
          <w:b/>
          <w:bCs/>
        </w:rPr>
        <w:t xml:space="preserve"> </w:t>
      </w:r>
      <w:r w:rsidRPr="007B155F">
        <w:t>is adopted as mandatory and amended to read as follows:</w:t>
      </w:r>
    </w:p>
    <w:p w14:paraId="6B59ADEF" w14:textId="027AC296" w:rsidR="007421A9" w:rsidRDefault="007421A9" w:rsidP="007421A9">
      <w:pPr>
        <w:tabs>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before="60" w:after="60" w:line="200" w:lineRule="atLeast"/>
        <w:ind w:left="240"/>
        <w:rPr>
          <w:rFonts w:cs="Arial"/>
          <w:szCs w:val="24"/>
          <w:u w:val="single"/>
        </w:rPr>
      </w:pPr>
      <w:r w:rsidRPr="006F52F9">
        <w:rPr>
          <w:rStyle w:val="StyleBold"/>
          <w:rFonts w:eastAsia="Batang"/>
        </w:rPr>
        <w:t xml:space="preserve">A5.106.5.3 Electric vehicle (EV) charging. </w:t>
      </w:r>
      <w:r w:rsidRPr="006F52F9">
        <w:rPr>
          <w:rFonts w:eastAsia="Batang" w:cs="Arial"/>
          <w:noProof/>
        </w:rPr>
        <w:t xml:space="preserve">Construction shall comply with Section </w:t>
      </w:r>
      <w:r w:rsidRPr="006F52F9">
        <w:rPr>
          <w:rFonts w:eastAsia="Batang" w:cs="Arial"/>
          <w:strike/>
          <w:noProof/>
        </w:rPr>
        <w:t xml:space="preserve">A5.106.5.3.1 or </w:t>
      </w:r>
      <w:r w:rsidRPr="006F52F9">
        <w:rPr>
          <w:rFonts w:eastAsia="Batang" w:cs="Arial"/>
          <w:noProof/>
        </w:rPr>
        <w:t>A5.106.5.3.</w:t>
      </w:r>
      <w:r w:rsidRPr="006F52F9">
        <w:rPr>
          <w:rFonts w:eastAsia="Batang" w:cs="Arial"/>
          <w:strike/>
          <w:noProof/>
        </w:rPr>
        <w:t>2</w:t>
      </w:r>
      <w:r w:rsidR="00406485" w:rsidRPr="006F52F9">
        <w:rPr>
          <w:rFonts w:eastAsia="Batang" w:cs="Arial"/>
          <w:noProof/>
          <w:u w:val="single"/>
        </w:rPr>
        <w:t>3</w:t>
      </w:r>
      <w:r w:rsidR="006F52F9" w:rsidRPr="006F52F9">
        <w:rPr>
          <w:rFonts w:eastAsia="Batang" w:cs="Arial"/>
          <w:noProof/>
          <w:u w:val="single"/>
        </w:rPr>
        <w:t>, Tier 2</w:t>
      </w:r>
      <w:r w:rsidRPr="006F52F9">
        <w:rPr>
          <w:rFonts w:eastAsia="Batang" w:cs="Arial"/>
          <w:noProof/>
        </w:rPr>
        <w:t xml:space="preserve">, and in accordance with regulations in the </w:t>
      </w:r>
      <w:r w:rsidRPr="006F52F9">
        <w:rPr>
          <w:rFonts w:eastAsia="Batang" w:cs="Arial"/>
          <w:i/>
          <w:iCs/>
          <w:noProof/>
        </w:rPr>
        <w:t xml:space="preserve">California Building Code </w:t>
      </w:r>
      <w:r w:rsidRPr="006F52F9">
        <w:rPr>
          <w:rFonts w:eastAsia="Batang" w:cs="Arial"/>
          <w:noProof/>
        </w:rPr>
        <w:t>and</w:t>
      </w:r>
      <w:r w:rsidR="00F448ED">
        <w:rPr>
          <w:rFonts w:eastAsia="Batang" w:cs="Arial"/>
          <w:i/>
          <w:iCs/>
          <w:noProof/>
        </w:rPr>
        <w:t xml:space="preserve"> </w:t>
      </w:r>
      <w:r w:rsidRPr="006F52F9">
        <w:rPr>
          <w:rFonts w:eastAsia="Batang" w:cs="Arial"/>
          <w:noProof/>
        </w:rPr>
        <w:t xml:space="preserve">the </w:t>
      </w:r>
      <w:r w:rsidRPr="006F52F9">
        <w:rPr>
          <w:rFonts w:eastAsia="Batang" w:cs="Arial"/>
          <w:i/>
          <w:iCs/>
          <w:noProof/>
        </w:rPr>
        <w:t>California Electrical Code.</w:t>
      </w:r>
      <w:r w:rsidRPr="006F52F9">
        <w:rPr>
          <w:rFonts w:cs="Arial"/>
          <w:szCs w:val="24"/>
          <w:u w:val="single"/>
        </w:rPr>
        <w:t xml:space="preserve"> </w:t>
      </w:r>
    </w:p>
    <w:p w14:paraId="4D3BA1E4" w14:textId="77777777" w:rsidR="00CD6945" w:rsidRDefault="00CD6945" w:rsidP="00CD6945">
      <w:pPr>
        <w:tabs>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before="60" w:after="60" w:line="200" w:lineRule="atLeast"/>
        <w:rPr>
          <w:rFonts w:cs="Arial"/>
          <w:szCs w:val="24"/>
          <w:u w:val="single"/>
        </w:rPr>
      </w:pPr>
    </w:p>
    <w:p w14:paraId="723AA83D" w14:textId="3AB96E31" w:rsidR="00CD6945" w:rsidRDefault="00CD6945" w:rsidP="00CD6945">
      <w:pPr>
        <w:tabs>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before="60" w:after="60" w:line="200" w:lineRule="atLeast"/>
      </w:pPr>
      <w:r w:rsidRPr="007B155F">
        <w:rPr>
          <w:b/>
          <w:bCs/>
        </w:rPr>
        <w:t>Appendix A</w:t>
      </w:r>
      <w:r>
        <w:rPr>
          <w:b/>
          <w:bCs/>
        </w:rPr>
        <w:t>5</w:t>
      </w:r>
      <w:r w:rsidRPr="007B155F">
        <w:rPr>
          <w:b/>
          <w:bCs/>
        </w:rPr>
        <w:t xml:space="preserve"> </w:t>
      </w:r>
      <w:r>
        <w:rPr>
          <w:b/>
          <w:bCs/>
        </w:rPr>
        <w:t>Nonr</w:t>
      </w:r>
      <w:r w:rsidRPr="007B155F">
        <w:rPr>
          <w:b/>
          <w:bCs/>
        </w:rPr>
        <w:t>esidential Voluntary Measures</w:t>
      </w:r>
      <w:r>
        <w:rPr>
          <w:b/>
          <w:bCs/>
        </w:rPr>
        <w:t>,</w:t>
      </w:r>
      <w:r w:rsidRPr="007B155F">
        <w:rPr>
          <w:b/>
          <w:bCs/>
        </w:rPr>
        <w:t xml:space="preserve"> </w:t>
      </w:r>
      <w:r>
        <w:rPr>
          <w:b/>
          <w:bCs/>
        </w:rPr>
        <w:t>Section</w:t>
      </w:r>
      <w:r w:rsidR="0067704B">
        <w:rPr>
          <w:b/>
          <w:bCs/>
        </w:rPr>
        <w:t>s</w:t>
      </w:r>
      <w:r>
        <w:rPr>
          <w:b/>
          <w:bCs/>
        </w:rPr>
        <w:t xml:space="preserve"> A5.</w:t>
      </w:r>
      <w:r w:rsidRPr="007B155F">
        <w:rPr>
          <w:b/>
          <w:bCs/>
        </w:rPr>
        <w:t>106.5.3</w:t>
      </w:r>
      <w:r>
        <w:rPr>
          <w:b/>
          <w:bCs/>
        </w:rPr>
        <w:t>.</w:t>
      </w:r>
      <w:r w:rsidR="0067704B">
        <w:rPr>
          <w:b/>
          <w:bCs/>
        </w:rPr>
        <w:t>1</w:t>
      </w:r>
      <w:r w:rsidR="00140B04">
        <w:rPr>
          <w:b/>
          <w:bCs/>
        </w:rPr>
        <w:t xml:space="preserve"> Tier 1</w:t>
      </w:r>
      <w:r w:rsidR="0067704B">
        <w:rPr>
          <w:b/>
          <w:bCs/>
        </w:rPr>
        <w:t xml:space="preserve"> and A5.</w:t>
      </w:r>
      <w:r w:rsidR="0067704B" w:rsidRPr="007B155F">
        <w:rPr>
          <w:b/>
          <w:bCs/>
        </w:rPr>
        <w:t>106.5.3</w:t>
      </w:r>
      <w:r w:rsidR="0067704B">
        <w:rPr>
          <w:b/>
          <w:bCs/>
        </w:rPr>
        <w:t xml:space="preserve">.2 </w:t>
      </w:r>
      <w:r w:rsidR="00D755E1">
        <w:rPr>
          <w:b/>
          <w:bCs/>
        </w:rPr>
        <w:t xml:space="preserve">Tier 2 </w:t>
      </w:r>
      <w:r w:rsidR="0067704B" w:rsidRPr="0067704B">
        <w:t>are removed in their entirety and marked as Reserved.</w:t>
      </w:r>
    </w:p>
    <w:p w14:paraId="2D4AFCBD" w14:textId="77777777" w:rsidR="00CE4B59" w:rsidRDefault="00CE4B59" w:rsidP="00CD6945">
      <w:pPr>
        <w:tabs>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before="60" w:after="60" w:line="200" w:lineRule="atLeast"/>
      </w:pPr>
    </w:p>
    <w:p w14:paraId="7D87C19E" w14:textId="3D36A2E0" w:rsidR="00D755E1" w:rsidRPr="00BC3535" w:rsidRDefault="00CE4B59" w:rsidP="00CD6945">
      <w:pPr>
        <w:tabs>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before="60" w:after="60" w:line="200" w:lineRule="atLeast"/>
      </w:pPr>
      <w:r w:rsidRPr="00CE4B59">
        <w:rPr>
          <w:b/>
          <w:bCs/>
        </w:rPr>
        <w:t xml:space="preserve">A new section </w:t>
      </w:r>
      <w:r>
        <w:rPr>
          <w:b/>
          <w:bCs/>
        </w:rPr>
        <w:t xml:space="preserve">is added </w:t>
      </w:r>
      <w:r w:rsidRPr="00CE4B59">
        <w:rPr>
          <w:b/>
          <w:bCs/>
        </w:rPr>
        <w:t>to Appendix</w:t>
      </w:r>
      <w:r w:rsidRPr="007B155F">
        <w:rPr>
          <w:b/>
          <w:bCs/>
        </w:rPr>
        <w:t xml:space="preserve"> A</w:t>
      </w:r>
      <w:r>
        <w:rPr>
          <w:b/>
          <w:bCs/>
        </w:rPr>
        <w:t>5</w:t>
      </w:r>
      <w:r w:rsidRPr="007B155F">
        <w:rPr>
          <w:b/>
          <w:bCs/>
        </w:rPr>
        <w:t xml:space="preserve"> </w:t>
      </w:r>
      <w:r>
        <w:rPr>
          <w:b/>
          <w:bCs/>
        </w:rPr>
        <w:t>Nonr</w:t>
      </w:r>
      <w:r w:rsidRPr="007B155F">
        <w:rPr>
          <w:b/>
          <w:bCs/>
        </w:rPr>
        <w:t>esidential Voluntary Measures</w:t>
      </w:r>
      <w:r>
        <w:rPr>
          <w:b/>
          <w:bCs/>
        </w:rPr>
        <w:t xml:space="preserve">, Section </w:t>
      </w:r>
      <w:r w:rsidR="00AB7033">
        <w:rPr>
          <w:b/>
          <w:bCs/>
        </w:rPr>
        <w:t>A5.106</w:t>
      </w:r>
      <w:r w:rsidR="00B143B4">
        <w:rPr>
          <w:b/>
          <w:bCs/>
        </w:rPr>
        <w:t>.5.3.3 Tier 1</w:t>
      </w:r>
      <w:r w:rsidR="00B143B4" w:rsidRPr="00B143B4">
        <w:t>, is added to read as follows:</w:t>
      </w:r>
    </w:p>
    <w:p w14:paraId="61771AC4" w14:textId="1BAFB2B8" w:rsidR="00CD6945" w:rsidRPr="006F52F9" w:rsidRDefault="00CD6945" w:rsidP="00CD6945">
      <w:pPr>
        <w:tabs>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before="60" w:after="60" w:line="200" w:lineRule="atLeast"/>
        <w:rPr>
          <w:rFonts w:cs="Arial"/>
          <w:szCs w:val="24"/>
          <w:u w:val="single"/>
        </w:rPr>
      </w:pPr>
    </w:p>
    <w:p w14:paraId="6A72ABBF" w14:textId="41186777" w:rsidR="007421A9" w:rsidRPr="00F10885" w:rsidRDefault="007421A9" w:rsidP="007421A9">
      <w:pPr>
        <w:tabs>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line="200" w:lineRule="atLeast"/>
        <w:ind w:left="720"/>
        <w:rPr>
          <w:rFonts w:cs="Arial"/>
          <w:strike/>
          <w:szCs w:val="24"/>
          <w:u w:val="single"/>
        </w:rPr>
      </w:pPr>
      <w:r w:rsidRPr="00F10885">
        <w:rPr>
          <w:rStyle w:val="StyleBold"/>
          <w:rFonts w:eastAsia="Arial Unicode MS"/>
        </w:rPr>
        <w:t>A5.106.5.3.</w:t>
      </w:r>
      <w:r w:rsidR="00FA7D51" w:rsidRPr="00F10885">
        <w:rPr>
          <w:rStyle w:val="StyleBold"/>
          <w:rFonts w:eastAsia="Arial Unicode MS"/>
        </w:rPr>
        <w:t>3</w:t>
      </w:r>
      <w:r w:rsidRPr="00F10885">
        <w:rPr>
          <w:rStyle w:val="StyleBold"/>
          <w:rFonts w:eastAsia="Arial Unicode MS"/>
        </w:rPr>
        <w:t xml:space="preserve"> Tier </w:t>
      </w:r>
      <w:r w:rsidR="00FA7D51" w:rsidRPr="00F10885">
        <w:rPr>
          <w:rStyle w:val="StyleBold"/>
          <w:rFonts w:eastAsia="Arial Unicode MS"/>
        </w:rPr>
        <w:t>2</w:t>
      </w:r>
      <w:r w:rsidRPr="00F10885">
        <w:rPr>
          <w:rStyle w:val="StyleBold"/>
          <w:rFonts w:eastAsia="Arial Unicode MS"/>
        </w:rPr>
        <w:t>.</w:t>
      </w:r>
      <w:r w:rsidR="00F448ED">
        <w:rPr>
          <w:rFonts w:cs="Arial"/>
          <w:noProof/>
          <w:szCs w:val="24"/>
        </w:rPr>
        <w:t xml:space="preserve"> </w:t>
      </w:r>
      <w:r w:rsidRPr="00F10885">
        <w:rPr>
          <w:rFonts w:cs="Arial"/>
          <w:noProof/>
          <w:szCs w:val="24"/>
          <w:u w:val="single"/>
        </w:rPr>
        <w:t>Comply with Section 5.106.5.3.1 EV capable spaces, Section 5.106.5.3.2 Electric vehicle charging stations and associated Table A5.106.5.3.</w:t>
      </w:r>
      <w:r w:rsidR="00FA7D51" w:rsidRPr="00F10885">
        <w:rPr>
          <w:rFonts w:cs="Arial"/>
          <w:noProof/>
          <w:szCs w:val="24"/>
          <w:u w:val="single"/>
        </w:rPr>
        <w:t>3</w:t>
      </w:r>
      <w:r w:rsidRPr="00F10885">
        <w:rPr>
          <w:rFonts w:cs="Arial"/>
          <w:noProof/>
          <w:szCs w:val="24"/>
          <w:u w:val="single"/>
        </w:rPr>
        <w:t xml:space="preserve"> Tier </w:t>
      </w:r>
      <w:r w:rsidR="00FA7D51" w:rsidRPr="00F10885">
        <w:rPr>
          <w:rFonts w:cs="Arial"/>
          <w:noProof/>
          <w:szCs w:val="24"/>
          <w:u w:val="single"/>
        </w:rPr>
        <w:t>2</w:t>
      </w:r>
      <w:r w:rsidRPr="00F10885">
        <w:rPr>
          <w:rFonts w:cs="Arial"/>
          <w:noProof/>
          <w:szCs w:val="24"/>
          <w:u w:val="single"/>
        </w:rPr>
        <w:t>, or comply with Section A5.106.5.3.</w:t>
      </w:r>
      <w:r w:rsidR="00FA7D51" w:rsidRPr="00F10885">
        <w:rPr>
          <w:rFonts w:cs="Arial"/>
          <w:noProof/>
          <w:szCs w:val="24"/>
          <w:u w:val="single"/>
        </w:rPr>
        <w:t>4</w:t>
      </w:r>
      <w:r w:rsidRPr="00F10885">
        <w:rPr>
          <w:rFonts w:cs="Arial"/>
          <w:noProof/>
          <w:szCs w:val="24"/>
          <w:u w:val="single"/>
        </w:rPr>
        <w:t xml:space="preserve"> Electric vehicle charging stations (EVCS)-Power allocation method and associated Table A5.106.5.3.</w:t>
      </w:r>
      <w:r w:rsidR="0037699D" w:rsidRPr="00F10885">
        <w:rPr>
          <w:rFonts w:cs="Arial"/>
          <w:noProof/>
          <w:szCs w:val="24"/>
          <w:u w:val="single"/>
        </w:rPr>
        <w:t>4</w:t>
      </w:r>
      <w:r w:rsidRPr="00F10885">
        <w:rPr>
          <w:rFonts w:cs="Arial"/>
          <w:noProof/>
          <w:szCs w:val="24"/>
          <w:u w:val="single"/>
        </w:rPr>
        <w:t xml:space="preserve"> Tier </w:t>
      </w:r>
      <w:r w:rsidR="0037699D" w:rsidRPr="00F10885">
        <w:rPr>
          <w:rFonts w:cs="Arial"/>
          <w:noProof/>
          <w:szCs w:val="24"/>
          <w:u w:val="single"/>
        </w:rPr>
        <w:t>2</w:t>
      </w:r>
      <w:r w:rsidRPr="00F10885">
        <w:rPr>
          <w:rFonts w:cs="Arial"/>
          <w:noProof/>
          <w:szCs w:val="24"/>
          <w:u w:val="single"/>
        </w:rPr>
        <w:t>.</w:t>
      </w:r>
      <w:r w:rsidRPr="00F10885">
        <w:rPr>
          <w:rFonts w:cs="Arial"/>
          <w:strike/>
          <w:noProof/>
          <w:szCs w:val="24"/>
        </w:rPr>
        <w:t xml:space="preserve"> Table A5.106.5.3.1 shall be used to determine the number of EV capable spaces required.</w:t>
      </w:r>
      <w:r w:rsidRPr="00F10885">
        <w:rPr>
          <w:rFonts w:cs="Arial"/>
          <w:noProof/>
          <w:szCs w:val="24"/>
        </w:rPr>
        <w:t xml:space="preserve"> </w:t>
      </w:r>
      <w:r w:rsidRPr="00F10885">
        <w:rPr>
          <w:rFonts w:cs="Arial"/>
          <w:strike/>
          <w:noProof/>
          <w:szCs w:val="24"/>
        </w:rPr>
        <w:t>Refer to Section 5.106.5.3 for design space requirements.</w:t>
      </w:r>
      <w:r w:rsidR="00F448ED">
        <w:rPr>
          <w:rFonts w:cs="Arial"/>
          <w:strike/>
          <w:noProof/>
          <w:szCs w:val="24"/>
        </w:rPr>
        <w:t xml:space="preserve"> </w:t>
      </w:r>
    </w:p>
    <w:p w14:paraId="4C33BD64" w14:textId="37E161EA" w:rsidR="007421A9" w:rsidRPr="00F10885" w:rsidRDefault="007421A9" w:rsidP="007421A9">
      <w:pPr>
        <w:ind w:left="720" w:firstLine="360"/>
        <w:rPr>
          <w:rFonts w:cs="Arial"/>
          <w:noProof/>
          <w:szCs w:val="24"/>
        </w:rPr>
      </w:pPr>
      <w:r w:rsidRPr="00F10885">
        <w:rPr>
          <w:rFonts w:cs="Arial"/>
          <w:strike/>
          <w:noProof/>
          <w:szCs w:val="24"/>
        </w:rPr>
        <w:t xml:space="preserve">When </w:t>
      </w:r>
      <w:r w:rsidRPr="00F10885">
        <w:rPr>
          <w:rFonts w:cs="Arial"/>
          <w:bCs/>
          <w:strike/>
          <w:color w:val="000000"/>
          <w:szCs w:val="24"/>
        </w:rPr>
        <w:t xml:space="preserve">EV capable spaces are provided </w:t>
      </w:r>
      <w:r w:rsidRPr="00F10885">
        <w:rPr>
          <w:rFonts w:cs="Arial"/>
          <w:strike/>
          <w:noProof/>
          <w:szCs w:val="24"/>
        </w:rPr>
        <w:t>with EVSE to create EVCS per Table A5.106.5.3.1,</w:t>
      </w:r>
      <w:r w:rsidRPr="00F10885">
        <w:rPr>
          <w:rFonts w:cs="Arial"/>
          <w:noProof/>
          <w:szCs w:val="24"/>
        </w:rPr>
        <w:t xml:space="preserve"> </w:t>
      </w:r>
      <w:r w:rsidRPr="00F10885">
        <w:rPr>
          <w:rFonts w:cs="Arial"/>
          <w:strike/>
          <w:noProof/>
          <w:szCs w:val="24"/>
        </w:rPr>
        <w:t>r</w:t>
      </w:r>
      <w:r w:rsidRPr="00F10885">
        <w:rPr>
          <w:rFonts w:cs="Arial"/>
          <w:noProof/>
          <w:szCs w:val="24"/>
        </w:rPr>
        <w:t xml:space="preserve"> </w:t>
      </w:r>
      <w:r w:rsidRPr="00F10885">
        <w:rPr>
          <w:rFonts w:cs="Arial"/>
          <w:noProof/>
          <w:szCs w:val="24"/>
          <w:u w:val="single"/>
        </w:rPr>
        <w:t>R</w:t>
      </w:r>
      <w:r w:rsidRPr="00F10885">
        <w:rPr>
          <w:rFonts w:cs="Arial"/>
          <w:noProof/>
          <w:szCs w:val="24"/>
        </w:rPr>
        <w:t xml:space="preserve">efer to Section 5.106.5.3.2 for the </w:t>
      </w:r>
      <w:r w:rsidRPr="00F10885">
        <w:rPr>
          <w:rFonts w:cs="Arial"/>
          <w:strike/>
          <w:noProof/>
          <w:szCs w:val="24"/>
        </w:rPr>
        <w:t>allowed</w:t>
      </w:r>
      <w:r w:rsidRPr="00F10885">
        <w:rPr>
          <w:rFonts w:cs="Arial"/>
          <w:noProof/>
          <w:szCs w:val="24"/>
        </w:rPr>
        <w:t xml:space="preserve"> </w:t>
      </w:r>
      <w:r w:rsidRPr="00F10885">
        <w:rPr>
          <w:rFonts w:cs="Arial"/>
          <w:noProof/>
          <w:szCs w:val="24"/>
          <w:u w:val="single"/>
        </w:rPr>
        <w:t>permitted</w:t>
      </w:r>
      <w:r w:rsidRPr="00F10885">
        <w:rPr>
          <w:rFonts w:cs="Arial"/>
          <w:noProof/>
          <w:szCs w:val="24"/>
        </w:rPr>
        <w:t xml:space="preserve"> use of Level 2 or Direct Current Fast Charger (DCFC) </w:t>
      </w:r>
      <w:r w:rsidRPr="00F10885">
        <w:rPr>
          <w:rFonts w:cs="Arial"/>
          <w:noProof/>
          <w:szCs w:val="24"/>
          <w:u w:val="single"/>
        </w:rPr>
        <w:t>to create EVCS.</w:t>
      </w:r>
      <w:r w:rsidR="00F448ED">
        <w:rPr>
          <w:rFonts w:cs="Arial"/>
          <w:noProof/>
          <w:szCs w:val="24"/>
        </w:rPr>
        <w:t xml:space="preserve"> </w:t>
      </w:r>
      <w:r w:rsidRPr="00F10885">
        <w:rPr>
          <w:rFonts w:cs="Arial"/>
          <w:noProof/>
          <w:szCs w:val="24"/>
          <w:u w:val="single"/>
        </w:rPr>
        <w:t>Refer to Section 5.106.3.2.1 for the allowed use of DCFC to comply with both EV capable spaces and Level 2 EVSE.</w:t>
      </w:r>
      <w:r w:rsidRPr="00F10885">
        <w:rPr>
          <w:rFonts w:cs="Arial"/>
          <w:noProof/>
          <w:szCs w:val="24"/>
        </w:rPr>
        <w:t xml:space="preserve"> </w:t>
      </w:r>
      <w:r w:rsidRPr="00F10885">
        <w:rPr>
          <w:rFonts w:cs="Arial"/>
          <w:strike/>
          <w:noProof/>
          <w:szCs w:val="24"/>
        </w:rPr>
        <w:t>and</w:t>
      </w:r>
      <w:r w:rsidRPr="00F10885">
        <w:rPr>
          <w:rFonts w:cs="Arial"/>
          <w:noProof/>
          <w:szCs w:val="24"/>
        </w:rPr>
        <w:t xml:space="preserve"> </w:t>
      </w:r>
      <w:r w:rsidRPr="00F10885">
        <w:rPr>
          <w:rFonts w:cs="Arial"/>
          <w:noProof/>
          <w:szCs w:val="24"/>
          <w:u w:val="single"/>
        </w:rPr>
        <w:t>Refer to</w:t>
      </w:r>
      <w:r w:rsidRPr="00F10885">
        <w:rPr>
          <w:rFonts w:cs="Arial"/>
          <w:noProof/>
          <w:szCs w:val="24"/>
        </w:rPr>
        <w:t xml:space="preserve"> Section 5.106.5.3.3 for the allowed use of</w:t>
      </w:r>
      <w:r w:rsidR="00F448ED">
        <w:rPr>
          <w:rFonts w:cs="Arial"/>
          <w:noProof/>
          <w:szCs w:val="24"/>
        </w:rPr>
        <w:t xml:space="preserve"> </w:t>
      </w:r>
      <w:r w:rsidRPr="00F10885">
        <w:rPr>
          <w:rFonts w:cs="Arial"/>
          <w:noProof/>
          <w:szCs w:val="24"/>
        </w:rPr>
        <w:t>Automatic Load Management System (ALMS).</w:t>
      </w:r>
    </w:p>
    <w:p w14:paraId="77F57A98" w14:textId="77777777" w:rsidR="007421A9" w:rsidRPr="00F10885" w:rsidRDefault="007421A9" w:rsidP="007421A9">
      <w:pPr>
        <w:rPr>
          <w:rStyle w:val="StyleBold"/>
          <w:rFonts w:eastAsia="Arial Unicode MS"/>
        </w:rPr>
      </w:pPr>
    </w:p>
    <w:p w14:paraId="1B29E980" w14:textId="77777777" w:rsidR="00C418C2" w:rsidRPr="00F10885" w:rsidRDefault="00C418C2" w:rsidP="00C418C2">
      <w:pPr>
        <w:rPr>
          <w:rStyle w:val="StyleBold"/>
          <w:rFonts w:eastAsia="Arial Unicode MS"/>
        </w:rPr>
      </w:pPr>
    </w:p>
    <w:p w14:paraId="31EF8747" w14:textId="77777777" w:rsidR="00C418C2" w:rsidRPr="00F10885" w:rsidRDefault="00C418C2" w:rsidP="00C418C2">
      <w:pPr>
        <w:jc w:val="center"/>
        <w:rPr>
          <w:rFonts w:cs="Arial"/>
          <w:b/>
          <w:szCs w:val="24"/>
          <w:u w:val="single"/>
        </w:rPr>
      </w:pPr>
      <w:r w:rsidRPr="00F10885">
        <w:rPr>
          <w:rStyle w:val="StyleBold"/>
          <w:rFonts w:eastAsia="Arial Unicode MS"/>
        </w:rPr>
        <w:t>TABLE A5.106.5.3.</w:t>
      </w:r>
      <w:r w:rsidRPr="00F10885">
        <w:rPr>
          <w:rStyle w:val="StyleBold"/>
          <w:rFonts w:eastAsia="Arial Unicode MS"/>
          <w:strike/>
        </w:rPr>
        <w:t>2</w:t>
      </w:r>
      <w:r w:rsidRPr="00F10885">
        <w:rPr>
          <w:rStyle w:val="StyleBold"/>
          <w:rFonts w:eastAsia="Arial Unicode MS"/>
        </w:rPr>
        <w:t xml:space="preserve">3 </w:t>
      </w:r>
      <w:r w:rsidRPr="00F10885">
        <w:rPr>
          <w:rFonts w:cs="Arial"/>
          <w:b/>
          <w:szCs w:val="24"/>
          <w:u w:val="single"/>
        </w:rPr>
        <w:t>Tier 2</w:t>
      </w:r>
    </w:p>
    <w:tbl>
      <w:tblPr>
        <w:tblW w:w="7285" w:type="dxa"/>
        <w:tblInd w:w="1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978"/>
        <w:gridCol w:w="2707"/>
        <w:gridCol w:w="2600"/>
      </w:tblGrid>
      <w:tr w:rsidR="00C418C2" w:rsidRPr="00C418C2" w14:paraId="2AF37447" w14:textId="77777777" w:rsidTr="009506EF">
        <w:trPr>
          <w:cantSplit/>
          <w:tblHeader/>
        </w:trPr>
        <w:tc>
          <w:tcPr>
            <w:tcW w:w="1978" w:type="dxa"/>
            <w:shd w:val="clear" w:color="auto" w:fill="auto"/>
          </w:tcPr>
          <w:p w14:paraId="4D2575F9" w14:textId="77777777" w:rsidR="00C418C2" w:rsidRPr="00F547B0" w:rsidRDefault="00C418C2" w:rsidP="009506EF">
            <w:pPr>
              <w:jc w:val="center"/>
              <w:rPr>
                <w:rFonts w:eastAsia="Calibri" w:cs="Arial"/>
                <w:b/>
                <w:noProof/>
                <w:sz w:val="22"/>
                <w:szCs w:val="24"/>
              </w:rPr>
            </w:pPr>
            <w:r w:rsidRPr="00F547B0">
              <w:rPr>
                <w:rFonts w:eastAsia="Calibri" w:cs="Arial"/>
                <w:b/>
                <w:noProof/>
                <w:sz w:val="22"/>
                <w:szCs w:val="24"/>
              </w:rPr>
              <w:t>TOTAL NUMBER OF ACTUAL PARKING SPACES</w:t>
            </w:r>
          </w:p>
        </w:tc>
        <w:tc>
          <w:tcPr>
            <w:tcW w:w="2707" w:type="dxa"/>
            <w:shd w:val="clear" w:color="auto" w:fill="auto"/>
          </w:tcPr>
          <w:p w14:paraId="312BC0BA" w14:textId="77777777" w:rsidR="00C418C2" w:rsidRPr="00F547B0" w:rsidRDefault="00C418C2" w:rsidP="009506EF">
            <w:pPr>
              <w:jc w:val="center"/>
              <w:rPr>
                <w:rStyle w:val="StyleBold"/>
                <w:rFonts w:eastAsia="Calibri"/>
                <w:sz w:val="22"/>
              </w:rPr>
            </w:pPr>
            <w:r w:rsidRPr="00F547B0">
              <w:rPr>
                <w:rFonts w:eastAsia="Calibri" w:cs="Arial"/>
                <w:b/>
                <w:noProof/>
                <w:sz w:val="22"/>
                <w:szCs w:val="24"/>
              </w:rPr>
              <w:t xml:space="preserve">TIER 1 </w:t>
            </w:r>
            <w:r w:rsidRPr="00F547B0">
              <w:rPr>
                <w:rStyle w:val="StyleBold"/>
                <w:rFonts w:eastAsia="Calibri"/>
                <w:sz w:val="22"/>
              </w:rPr>
              <w:t>NUMBER OF REQUIRED EV CAPABLE SPACES</w:t>
            </w:r>
          </w:p>
        </w:tc>
        <w:tc>
          <w:tcPr>
            <w:tcW w:w="2600" w:type="dxa"/>
            <w:shd w:val="clear" w:color="auto" w:fill="auto"/>
          </w:tcPr>
          <w:p w14:paraId="768D6F4A" w14:textId="77777777" w:rsidR="00C418C2" w:rsidRPr="00F547B0" w:rsidRDefault="00C418C2" w:rsidP="009506EF">
            <w:pPr>
              <w:jc w:val="center"/>
              <w:rPr>
                <w:rFonts w:eastAsia="Calibri" w:cs="Arial"/>
                <w:bCs/>
                <w:sz w:val="22"/>
                <w:szCs w:val="24"/>
              </w:rPr>
            </w:pPr>
            <w:r w:rsidRPr="00F547B0">
              <w:rPr>
                <w:rFonts w:eastAsia="Calibri" w:cs="Arial"/>
                <w:b/>
                <w:noProof/>
                <w:sz w:val="22"/>
                <w:szCs w:val="24"/>
              </w:rPr>
              <w:t xml:space="preserve">TIER 1 </w:t>
            </w:r>
            <w:r w:rsidRPr="00F547B0">
              <w:rPr>
                <w:rFonts w:eastAsia="Calibri" w:cs="Arial"/>
                <w:b/>
                <w:color w:val="000000"/>
                <w:sz w:val="22"/>
                <w:szCs w:val="24"/>
              </w:rPr>
              <w:t>NUMBER OF EVCS (EV CAPABLE SPACES PROVIDED WITH EVSE)</w:t>
            </w:r>
            <w:r w:rsidRPr="00F547B0">
              <w:rPr>
                <w:rFonts w:eastAsia="Calibri" w:cs="Arial"/>
                <w:color w:val="000000"/>
                <w:sz w:val="22"/>
                <w:szCs w:val="24"/>
                <w:vertAlign w:val="superscript"/>
              </w:rPr>
              <w:t xml:space="preserve"> </w:t>
            </w:r>
            <w:r w:rsidRPr="00F547B0">
              <w:rPr>
                <w:rFonts w:eastAsia="Calibri" w:cs="Arial"/>
                <w:b/>
                <w:bCs/>
                <w:color w:val="000000"/>
                <w:sz w:val="22"/>
                <w:szCs w:val="24"/>
                <w:vertAlign w:val="superscript"/>
              </w:rPr>
              <w:t>2</w:t>
            </w:r>
            <w:r w:rsidRPr="00F547B0">
              <w:rPr>
                <w:rFonts w:eastAsia="Calibri" w:cs="Arial"/>
                <w:color w:val="000000"/>
                <w:sz w:val="22"/>
                <w:szCs w:val="24"/>
                <w:u w:val="single"/>
                <w:vertAlign w:val="superscript"/>
              </w:rPr>
              <w:t xml:space="preserve">, </w:t>
            </w:r>
            <w:r w:rsidRPr="00F547B0">
              <w:rPr>
                <w:rFonts w:eastAsia="Calibri" w:cs="Arial"/>
                <w:b/>
                <w:bCs/>
                <w:color w:val="000000"/>
                <w:sz w:val="22"/>
                <w:szCs w:val="24"/>
                <w:u w:val="single"/>
                <w:vertAlign w:val="superscript"/>
              </w:rPr>
              <w:t>3</w:t>
            </w:r>
          </w:p>
        </w:tc>
      </w:tr>
      <w:tr w:rsidR="00C418C2" w:rsidRPr="00C418C2" w14:paraId="073B7F20" w14:textId="77777777" w:rsidTr="009506EF">
        <w:trPr>
          <w:cantSplit/>
          <w:trHeight w:val="251"/>
        </w:trPr>
        <w:tc>
          <w:tcPr>
            <w:tcW w:w="1978" w:type="dxa"/>
            <w:shd w:val="clear" w:color="auto" w:fill="auto"/>
          </w:tcPr>
          <w:p w14:paraId="58C08E26"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0-9</w:t>
            </w:r>
          </w:p>
        </w:tc>
        <w:tc>
          <w:tcPr>
            <w:tcW w:w="2707" w:type="dxa"/>
            <w:shd w:val="clear" w:color="auto" w:fill="auto"/>
          </w:tcPr>
          <w:p w14:paraId="6E1A3725" w14:textId="1F7D1FA0" w:rsidR="00C418C2" w:rsidRPr="00F547B0" w:rsidRDefault="00F10885" w:rsidP="009506EF">
            <w:pPr>
              <w:jc w:val="center"/>
              <w:rPr>
                <w:rFonts w:eastAsia="Calibri" w:cs="Arial"/>
                <w:bCs/>
                <w:noProof/>
                <w:sz w:val="22"/>
                <w:szCs w:val="24"/>
              </w:rPr>
            </w:pPr>
            <w:r w:rsidRPr="00F547B0">
              <w:rPr>
                <w:rFonts w:eastAsia="Calibri" w:cs="Arial"/>
                <w:bCs/>
                <w:noProof/>
                <w:sz w:val="22"/>
                <w:szCs w:val="24"/>
              </w:rPr>
              <w:t>3</w:t>
            </w:r>
          </w:p>
        </w:tc>
        <w:tc>
          <w:tcPr>
            <w:tcW w:w="2600" w:type="dxa"/>
            <w:shd w:val="clear" w:color="auto" w:fill="auto"/>
          </w:tcPr>
          <w:p w14:paraId="7EC2837E"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 xml:space="preserve">0 </w:t>
            </w:r>
          </w:p>
        </w:tc>
      </w:tr>
      <w:tr w:rsidR="00C418C2" w:rsidRPr="00C418C2" w14:paraId="249FF543" w14:textId="77777777" w:rsidTr="009506EF">
        <w:trPr>
          <w:cantSplit/>
          <w:trHeight w:val="251"/>
        </w:trPr>
        <w:tc>
          <w:tcPr>
            <w:tcW w:w="1978" w:type="dxa"/>
            <w:shd w:val="clear" w:color="auto" w:fill="auto"/>
          </w:tcPr>
          <w:p w14:paraId="108895F7"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10-25</w:t>
            </w:r>
          </w:p>
        </w:tc>
        <w:tc>
          <w:tcPr>
            <w:tcW w:w="2707" w:type="dxa"/>
            <w:shd w:val="clear" w:color="auto" w:fill="auto"/>
          </w:tcPr>
          <w:p w14:paraId="62EDE611"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8</w:t>
            </w:r>
          </w:p>
        </w:tc>
        <w:tc>
          <w:tcPr>
            <w:tcW w:w="2600" w:type="dxa"/>
            <w:shd w:val="clear" w:color="auto" w:fill="auto"/>
          </w:tcPr>
          <w:p w14:paraId="5BA00300"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3</w:t>
            </w:r>
          </w:p>
        </w:tc>
      </w:tr>
      <w:tr w:rsidR="00C418C2" w:rsidRPr="00C418C2" w14:paraId="16401213" w14:textId="77777777" w:rsidTr="009506EF">
        <w:trPr>
          <w:cantSplit/>
          <w:trHeight w:val="251"/>
        </w:trPr>
        <w:tc>
          <w:tcPr>
            <w:tcW w:w="1978" w:type="dxa"/>
            <w:shd w:val="clear" w:color="auto" w:fill="auto"/>
          </w:tcPr>
          <w:p w14:paraId="2790D226"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26-50</w:t>
            </w:r>
          </w:p>
        </w:tc>
        <w:tc>
          <w:tcPr>
            <w:tcW w:w="2707" w:type="dxa"/>
            <w:shd w:val="clear" w:color="auto" w:fill="auto"/>
          </w:tcPr>
          <w:p w14:paraId="79DAC83A"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17</w:t>
            </w:r>
          </w:p>
        </w:tc>
        <w:tc>
          <w:tcPr>
            <w:tcW w:w="2600" w:type="dxa"/>
            <w:shd w:val="clear" w:color="auto" w:fill="auto"/>
          </w:tcPr>
          <w:p w14:paraId="594063C3"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6</w:t>
            </w:r>
          </w:p>
        </w:tc>
      </w:tr>
      <w:tr w:rsidR="00C418C2" w:rsidRPr="00C418C2" w14:paraId="519F7114" w14:textId="77777777" w:rsidTr="009506EF">
        <w:trPr>
          <w:cantSplit/>
          <w:trHeight w:val="287"/>
        </w:trPr>
        <w:tc>
          <w:tcPr>
            <w:tcW w:w="1978" w:type="dxa"/>
            <w:shd w:val="clear" w:color="auto" w:fill="auto"/>
          </w:tcPr>
          <w:p w14:paraId="33021B66"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51-75</w:t>
            </w:r>
          </w:p>
        </w:tc>
        <w:tc>
          <w:tcPr>
            <w:tcW w:w="2707" w:type="dxa"/>
            <w:shd w:val="clear" w:color="auto" w:fill="auto"/>
          </w:tcPr>
          <w:p w14:paraId="72E1F03E"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28</w:t>
            </w:r>
          </w:p>
        </w:tc>
        <w:tc>
          <w:tcPr>
            <w:tcW w:w="2600" w:type="dxa"/>
            <w:shd w:val="clear" w:color="auto" w:fill="auto"/>
          </w:tcPr>
          <w:p w14:paraId="60CA72B5" w14:textId="77777777" w:rsidR="00C418C2" w:rsidRPr="00F547B0" w:rsidRDefault="00C418C2" w:rsidP="009506EF">
            <w:pPr>
              <w:jc w:val="center"/>
              <w:rPr>
                <w:rFonts w:eastAsia="Calibri" w:cs="Arial"/>
                <w:bCs/>
                <w:sz w:val="22"/>
                <w:szCs w:val="24"/>
              </w:rPr>
            </w:pPr>
            <w:r w:rsidRPr="00F547B0">
              <w:rPr>
                <w:rFonts w:eastAsia="Calibri" w:cs="Arial"/>
                <w:bCs/>
                <w:sz w:val="22"/>
                <w:szCs w:val="24"/>
              </w:rPr>
              <w:t>9</w:t>
            </w:r>
          </w:p>
        </w:tc>
      </w:tr>
      <w:tr w:rsidR="00C418C2" w:rsidRPr="00C418C2" w14:paraId="0CA11416" w14:textId="77777777" w:rsidTr="009506EF">
        <w:trPr>
          <w:cantSplit/>
          <w:trHeight w:val="314"/>
        </w:trPr>
        <w:tc>
          <w:tcPr>
            <w:tcW w:w="1978" w:type="dxa"/>
            <w:shd w:val="clear" w:color="auto" w:fill="auto"/>
          </w:tcPr>
          <w:p w14:paraId="6CC1F89C"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76-100</w:t>
            </w:r>
          </w:p>
        </w:tc>
        <w:tc>
          <w:tcPr>
            <w:tcW w:w="2707" w:type="dxa"/>
            <w:shd w:val="clear" w:color="auto" w:fill="auto"/>
          </w:tcPr>
          <w:p w14:paraId="686B6B89"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40</w:t>
            </w:r>
          </w:p>
        </w:tc>
        <w:tc>
          <w:tcPr>
            <w:tcW w:w="2600" w:type="dxa"/>
            <w:shd w:val="clear" w:color="auto" w:fill="auto"/>
          </w:tcPr>
          <w:p w14:paraId="7C095223"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13</w:t>
            </w:r>
          </w:p>
        </w:tc>
      </w:tr>
      <w:tr w:rsidR="00C418C2" w:rsidRPr="00C418C2" w14:paraId="30E07D89" w14:textId="77777777" w:rsidTr="009506EF">
        <w:trPr>
          <w:cantSplit/>
          <w:trHeight w:val="260"/>
        </w:trPr>
        <w:tc>
          <w:tcPr>
            <w:tcW w:w="1978" w:type="dxa"/>
            <w:shd w:val="clear" w:color="auto" w:fill="auto"/>
          </w:tcPr>
          <w:p w14:paraId="1A8C3DC7"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101-150</w:t>
            </w:r>
          </w:p>
        </w:tc>
        <w:tc>
          <w:tcPr>
            <w:tcW w:w="2707" w:type="dxa"/>
            <w:shd w:val="clear" w:color="auto" w:fill="auto"/>
          </w:tcPr>
          <w:p w14:paraId="112AAE19"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57</w:t>
            </w:r>
          </w:p>
        </w:tc>
        <w:tc>
          <w:tcPr>
            <w:tcW w:w="2600" w:type="dxa"/>
            <w:shd w:val="clear" w:color="auto" w:fill="auto"/>
          </w:tcPr>
          <w:p w14:paraId="2D65AE67"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19</w:t>
            </w:r>
          </w:p>
        </w:tc>
      </w:tr>
      <w:tr w:rsidR="00C418C2" w:rsidRPr="00C418C2" w14:paraId="7B9C6817" w14:textId="77777777" w:rsidTr="009506EF">
        <w:trPr>
          <w:cantSplit/>
          <w:trHeight w:val="287"/>
        </w:trPr>
        <w:tc>
          <w:tcPr>
            <w:tcW w:w="1978" w:type="dxa"/>
            <w:shd w:val="clear" w:color="auto" w:fill="auto"/>
          </w:tcPr>
          <w:p w14:paraId="2F3CBBA0"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151-200</w:t>
            </w:r>
          </w:p>
        </w:tc>
        <w:tc>
          <w:tcPr>
            <w:tcW w:w="2707" w:type="dxa"/>
            <w:shd w:val="clear" w:color="auto" w:fill="auto"/>
          </w:tcPr>
          <w:p w14:paraId="47F6AE35"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79</w:t>
            </w:r>
          </w:p>
        </w:tc>
        <w:tc>
          <w:tcPr>
            <w:tcW w:w="2600" w:type="dxa"/>
            <w:shd w:val="clear" w:color="auto" w:fill="auto"/>
          </w:tcPr>
          <w:p w14:paraId="5D861339" w14:textId="65232A73"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26</w:t>
            </w:r>
          </w:p>
        </w:tc>
      </w:tr>
      <w:tr w:rsidR="00C418C2" w:rsidRPr="00C418C2" w14:paraId="107A41A0" w14:textId="77777777" w:rsidTr="009506EF">
        <w:trPr>
          <w:cantSplit/>
          <w:trHeight w:val="818"/>
        </w:trPr>
        <w:tc>
          <w:tcPr>
            <w:tcW w:w="1978" w:type="dxa"/>
            <w:shd w:val="clear" w:color="auto" w:fill="auto"/>
          </w:tcPr>
          <w:p w14:paraId="3A523A42" w14:textId="77777777" w:rsidR="00C418C2" w:rsidRPr="00F547B0" w:rsidRDefault="00C418C2" w:rsidP="009506EF">
            <w:pPr>
              <w:jc w:val="center"/>
              <w:rPr>
                <w:rFonts w:eastAsia="Calibri" w:cs="Arial"/>
                <w:bCs/>
                <w:noProof/>
                <w:sz w:val="22"/>
                <w:szCs w:val="24"/>
              </w:rPr>
            </w:pPr>
            <w:r w:rsidRPr="00F547B0">
              <w:rPr>
                <w:rFonts w:eastAsia="Calibri" w:cs="Arial"/>
                <w:bCs/>
                <w:noProof/>
                <w:sz w:val="22"/>
                <w:szCs w:val="24"/>
              </w:rPr>
              <w:t>201 and over</w:t>
            </w:r>
          </w:p>
        </w:tc>
        <w:tc>
          <w:tcPr>
            <w:tcW w:w="2707" w:type="dxa"/>
            <w:shd w:val="clear" w:color="auto" w:fill="auto"/>
          </w:tcPr>
          <w:p w14:paraId="7F91D236" w14:textId="77777777" w:rsidR="00C418C2" w:rsidRPr="00F547B0" w:rsidRDefault="00C418C2" w:rsidP="009506EF">
            <w:pPr>
              <w:jc w:val="center"/>
              <w:rPr>
                <w:rFonts w:eastAsia="Calibri" w:cs="Arial"/>
                <w:bCs/>
                <w:noProof/>
                <w:sz w:val="22"/>
                <w:szCs w:val="24"/>
              </w:rPr>
            </w:pPr>
            <w:r w:rsidRPr="00F547B0">
              <w:rPr>
                <w:rFonts w:eastAsia="Calibri" w:cs="Arial"/>
                <w:bCs/>
                <w:sz w:val="22"/>
                <w:szCs w:val="24"/>
              </w:rPr>
              <w:t xml:space="preserve">45 percent of </w:t>
            </w:r>
            <w:r w:rsidRPr="00F547B0">
              <w:rPr>
                <w:rFonts w:eastAsia="Calibri" w:cs="Arial"/>
                <w:bCs/>
                <w:sz w:val="22"/>
                <w:szCs w:val="24"/>
                <w:u w:val="single"/>
              </w:rPr>
              <w:t>actual</w:t>
            </w:r>
            <w:r w:rsidRPr="00F547B0">
              <w:rPr>
                <w:rFonts w:eastAsia="Calibri" w:cs="Arial"/>
                <w:bCs/>
                <w:sz w:val="22"/>
                <w:szCs w:val="24"/>
              </w:rPr>
              <w:t xml:space="preserve"> </w:t>
            </w:r>
            <w:r w:rsidRPr="00F547B0">
              <w:rPr>
                <w:rFonts w:eastAsia="Calibri" w:cs="Arial"/>
                <w:bCs/>
                <w:strike/>
                <w:sz w:val="22"/>
                <w:szCs w:val="24"/>
              </w:rPr>
              <w:t xml:space="preserve">total </w:t>
            </w:r>
            <w:r w:rsidRPr="00F547B0">
              <w:rPr>
                <w:rFonts w:eastAsia="Calibri" w:cs="Arial"/>
                <w:bCs/>
                <w:sz w:val="22"/>
                <w:szCs w:val="24"/>
              </w:rPr>
              <w:t>parking spaces</w:t>
            </w:r>
            <w:r w:rsidRPr="00F547B0">
              <w:rPr>
                <w:rFonts w:eastAsia="Calibri" w:cs="Arial"/>
                <w:bCs/>
                <w:sz w:val="22"/>
                <w:szCs w:val="24"/>
                <w:vertAlign w:val="superscript"/>
              </w:rPr>
              <w:t>1</w:t>
            </w:r>
          </w:p>
        </w:tc>
        <w:tc>
          <w:tcPr>
            <w:tcW w:w="2600" w:type="dxa"/>
            <w:shd w:val="clear" w:color="auto" w:fill="auto"/>
          </w:tcPr>
          <w:p w14:paraId="183A5276" w14:textId="77777777" w:rsidR="00C418C2" w:rsidRPr="00F547B0" w:rsidRDefault="00C418C2" w:rsidP="009506EF">
            <w:pPr>
              <w:jc w:val="center"/>
              <w:rPr>
                <w:rFonts w:eastAsia="Calibri" w:cs="Arial"/>
                <w:bCs/>
                <w:sz w:val="22"/>
                <w:szCs w:val="24"/>
              </w:rPr>
            </w:pPr>
            <w:r w:rsidRPr="00F547B0">
              <w:rPr>
                <w:rFonts w:eastAsia="Calibri" w:cs="Arial"/>
                <w:bCs/>
                <w:sz w:val="22"/>
                <w:szCs w:val="24"/>
              </w:rPr>
              <w:t xml:space="preserve">33 percent of EV capable spaces </w:t>
            </w:r>
            <w:r w:rsidRPr="00F547B0">
              <w:rPr>
                <w:rFonts w:eastAsia="Calibri" w:cs="Arial"/>
                <w:bCs/>
                <w:sz w:val="22"/>
                <w:szCs w:val="24"/>
                <w:vertAlign w:val="superscript"/>
              </w:rPr>
              <w:t>1</w:t>
            </w:r>
          </w:p>
        </w:tc>
      </w:tr>
    </w:tbl>
    <w:p w14:paraId="0384B4E8" w14:textId="77777777" w:rsidR="00DC6F7C" w:rsidRDefault="00F34734" w:rsidP="00DC6F7C">
      <w:pPr>
        <w:ind w:left="1440" w:hanging="360"/>
        <w:rPr>
          <w:rFonts w:eastAsia="Batang" w:cs="Arial"/>
          <w:color w:val="000000"/>
          <w:sz w:val="22"/>
          <w:szCs w:val="22"/>
        </w:rPr>
      </w:pPr>
      <w:r w:rsidRPr="00444C61">
        <w:rPr>
          <w:rFonts w:eastAsia="Batang" w:cs="Arial"/>
          <w:color w:val="000000"/>
          <w:sz w:val="22"/>
          <w:szCs w:val="22"/>
        </w:rPr>
        <w:t>1.</w:t>
      </w:r>
      <w:r w:rsidR="00444C61">
        <w:rPr>
          <w:rFonts w:eastAsia="Batang" w:cs="Arial"/>
          <w:color w:val="000000"/>
          <w:sz w:val="22"/>
          <w:szCs w:val="22"/>
        </w:rPr>
        <w:tab/>
      </w:r>
      <w:r w:rsidR="00C418C2" w:rsidRPr="00444C61">
        <w:rPr>
          <w:rFonts w:eastAsia="Batang" w:cs="Arial"/>
          <w:color w:val="000000"/>
          <w:sz w:val="22"/>
          <w:szCs w:val="22"/>
        </w:rPr>
        <w:t>Calculation for spaces shall be rounded up to the nearest whole number.</w:t>
      </w:r>
    </w:p>
    <w:p w14:paraId="1C43CEEB" w14:textId="1B49D5BC" w:rsidR="00C418C2" w:rsidRPr="00444C61" w:rsidRDefault="00F34734" w:rsidP="00DC6F7C">
      <w:pPr>
        <w:ind w:left="1440" w:hanging="360"/>
        <w:rPr>
          <w:rFonts w:eastAsia="Batang" w:cs="Arial"/>
          <w:color w:val="000000"/>
          <w:sz w:val="22"/>
          <w:szCs w:val="22"/>
        </w:rPr>
      </w:pPr>
      <w:r w:rsidRPr="00DC6928">
        <w:rPr>
          <w:rFonts w:eastAsia="Batang" w:cs="Arial"/>
          <w:color w:val="000000"/>
          <w:sz w:val="22"/>
          <w:szCs w:val="22"/>
        </w:rPr>
        <w:t>2.</w:t>
      </w:r>
      <w:r w:rsidR="00444C61" w:rsidRPr="00DC6928">
        <w:rPr>
          <w:rFonts w:eastAsia="Batang" w:cs="Arial"/>
          <w:color w:val="000000"/>
          <w:sz w:val="22"/>
          <w:szCs w:val="22"/>
        </w:rPr>
        <w:tab/>
      </w:r>
      <w:r w:rsidR="00DC6F7C" w:rsidRPr="00DC6928">
        <w:rPr>
          <w:rStyle w:val="Deletions"/>
          <w:rFonts w:eastAsia="Batang"/>
          <w:sz w:val="22"/>
          <w:szCs w:val="22"/>
        </w:rPr>
        <w:t>The number of required EVCS (EV capable spaces provided with EVSE) in column 3 count toward the total number of required EV capable spaces shown in column 2.</w:t>
      </w:r>
      <w:r w:rsidR="00DC6F7C" w:rsidRPr="00DC6928">
        <w:rPr>
          <w:rFonts w:eastAsia="Batang" w:cs="Arial"/>
          <w:color w:val="000000"/>
          <w:sz w:val="22"/>
          <w:szCs w:val="22"/>
        </w:rPr>
        <w:t xml:space="preserve"> </w:t>
      </w:r>
      <w:r w:rsidR="00DC6F7C" w:rsidRPr="00DC6928">
        <w:rPr>
          <w:rStyle w:val="Additions"/>
          <w:sz w:val="22"/>
          <w:szCs w:val="22"/>
        </w:rPr>
        <w:t>Each EVCS shall reduce the number of required EV capable spaces by the same number.</w:t>
      </w:r>
    </w:p>
    <w:p w14:paraId="7065D2E7" w14:textId="72FEA934" w:rsidR="00C418C2" w:rsidRPr="00444C61" w:rsidRDefault="00F34734" w:rsidP="00444C61">
      <w:pPr>
        <w:ind w:left="1440" w:hanging="360"/>
        <w:contextualSpacing/>
        <w:rPr>
          <w:rFonts w:eastAsia="Batang" w:cs="Arial"/>
          <w:color w:val="000000"/>
          <w:sz w:val="22"/>
          <w:szCs w:val="22"/>
        </w:rPr>
      </w:pPr>
      <w:r w:rsidRPr="00444C61">
        <w:rPr>
          <w:rFonts w:eastAsia="Batang" w:cs="Arial"/>
          <w:color w:val="000000"/>
          <w:sz w:val="22"/>
          <w:szCs w:val="22"/>
        </w:rPr>
        <w:t>3.</w:t>
      </w:r>
      <w:r w:rsidR="00444C61">
        <w:rPr>
          <w:rFonts w:eastAsia="Batang" w:cs="Arial"/>
          <w:color w:val="000000"/>
          <w:sz w:val="22"/>
          <w:szCs w:val="22"/>
        </w:rPr>
        <w:tab/>
      </w:r>
      <w:r w:rsidR="00C418C2" w:rsidRPr="00444C61">
        <w:rPr>
          <w:rFonts w:cs="Arial"/>
          <w:sz w:val="22"/>
          <w:szCs w:val="22"/>
          <w:u w:val="single"/>
        </w:rPr>
        <w:t xml:space="preserve">At least one Level 2 EVSE shall be provided. </w:t>
      </w:r>
    </w:p>
    <w:p w14:paraId="0D58D757" w14:textId="77777777" w:rsidR="00C418C2" w:rsidRPr="00266CDC" w:rsidRDefault="00C418C2" w:rsidP="00C418C2">
      <w:pPr>
        <w:ind w:left="720"/>
        <w:rPr>
          <w:rStyle w:val="StyleBold"/>
          <w:rFonts w:eastAsia="Arial Unicode MS"/>
        </w:rPr>
      </w:pPr>
    </w:p>
    <w:p w14:paraId="2449DBFB" w14:textId="77777777" w:rsidR="00C418C2" w:rsidRPr="00266CDC" w:rsidRDefault="00C418C2" w:rsidP="00C418C2">
      <w:r w:rsidRPr="00266CDC">
        <w:rPr>
          <w:b/>
          <w:bCs/>
        </w:rPr>
        <w:t xml:space="preserve">Appendix A5 Nonresidential Voluntary Measures, Section A5.106.5.3.2 </w:t>
      </w:r>
      <w:r w:rsidRPr="00266CDC">
        <w:t>is deleted in its entirety and replaced with mandatory requirements to read as follows:</w:t>
      </w:r>
    </w:p>
    <w:p w14:paraId="4088E893" w14:textId="77777777" w:rsidR="00C418C2" w:rsidRPr="00266CDC" w:rsidRDefault="00C418C2" w:rsidP="00C418C2">
      <w:pPr>
        <w:rPr>
          <w:rStyle w:val="StyleBold"/>
          <w:rFonts w:eastAsia="Arial Unicode MS"/>
        </w:rPr>
      </w:pPr>
    </w:p>
    <w:p w14:paraId="5F4F38AD" w14:textId="3AD82D88" w:rsidR="00C418C2" w:rsidRDefault="00C418C2" w:rsidP="00C418C2">
      <w:pPr>
        <w:ind w:left="720"/>
        <w:rPr>
          <w:rFonts w:cs="Arial"/>
          <w:szCs w:val="24"/>
          <w:u w:val="single"/>
        </w:rPr>
      </w:pPr>
      <w:r w:rsidRPr="00266CDC">
        <w:rPr>
          <w:rStyle w:val="StyleBold"/>
          <w:rFonts w:eastAsia="Arial Unicode MS"/>
          <w:u w:val="single"/>
        </w:rPr>
        <w:t>A5.106.5.3.</w:t>
      </w:r>
      <w:r w:rsidR="00FA0CFE">
        <w:rPr>
          <w:rStyle w:val="StyleBold"/>
          <w:rFonts w:eastAsia="Arial Unicode MS"/>
          <w:u w:val="single"/>
        </w:rPr>
        <w:t>4</w:t>
      </w:r>
      <w:r w:rsidRPr="00266CDC">
        <w:rPr>
          <w:rStyle w:val="StyleBold"/>
          <w:rFonts w:eastAsia="Arial Unicode MS"/>
          <w:u w:val="single"/>
        </w:rPr>
        <w:t xml:space="preserve"> </w:t>
      </w:r>
      <w:r w:rsidRPr="00266CDC">
        <w:rPr>
          <w:rFonts w:cs="Arial"/>
          <w:b/>
          <w:bCs/>
          <w:szCs w:val="24"/>
          <w:u w:val="single"/>
        </w:rPr>
        <w:t>Electric vehicle charging stations (EVCS)-Power allocation method.</w:t>
      </w:r>
      <w:r w:rsidRPr="00266CDC">
        <w:rPr>
          <w:rFonts w:cs="Arial"/>
          <w:szCs w:val="24"/>
          <w:u w:val="single"/>
        </w:rPr>
        <w:t xml:space="preserve"> The Power allocation method may be used as an alternative to the requirements in Section 5.106.5.3.1, Section 5.106.5.3.2 and associated Table A5.106.5.3.</w:t>
      </w:r>
      <w:r>
        <w:rPr>
          <w:rFonts w:cs="Arial"/>
          <w:szCs w:val="24"/>
          <w:u w:val="single"/>
        </w:rPr>
        <w:t>3</w:t>
      </w:r>
      <w:r w:rsidRPr="00266CDC">
        <w:rPr>
          <w:rFonts w:cs="Arial"/>
          <w:szCs w:val="24"/>
          <w:u w:val="single"/>
        </w:rPr>
        <w:t xml:space="preserve"> Tier </w:t>
      </w:r>
      <w:r>
        <w:rPr>
          <w:rFonts w:cs="Arial"/>
          <w:szCs w:val="24"/>
          <w:u w:val="single"/>
        </w:rPr>
        <w:t>2</w:t>
      </w:r>
      <w:r w:rsidRPr="00266CDC">
        <w:rPr>
          <w:rFonts w:cs="Arial"/>
          <w:szCs w:val="24"/>
          <w:u w:val="single"/>
        </w:rPr>
        <w:t>.</w:t>
      </w:r>
      <w:r w:rsidR="00F448ED">
        <w:rPr>
          <w:rFonts w:cs="Arial"/>
          <w:szCs w:val="24"/>
          <w:u w:val="single"/>
        </w:rPr>
        <w:t xml:space="preserve"> </w:t>
      </w:r>
      <w:r w:rsidRPr="00266CDC">
        <w:rPr>
          <w:rFonts w:cs="Arial"/>
          <w:szCs w:val="24"/>
          <w:u w:val="single"/>
        </w:rPr>
        <w:t>Use Table A5.106.5.3.</w:t>
      </w:r>
      <w:r>
        <w:rPr>
          <w:rFonts w:cs="Arial"/>
          <w:szCs w:val="24"/>
          <w:u w:val="single"/>
        </w:rPr>
        <w:t>4</w:t>
      </w:r>
      <w:r w:rsidRPr="00266CDC">
        <w:rPr>
          <w:rFonts w:cs="Arial"/>
          <w:szCs w:val="24"/>
          <w:u w:val="single"/>
        </w:rPr>
        <w:t xml:space="preserve"> Tier </w:t>
      </w:r>
      <w:r>
        <w:rPr>
          <w:rFonts w:cs="Arial"/>
          <w:szCs w:val="24"/>
          <w:u w:val="single"/>
        </w:rPr>
        <w:t>2</w:t>
      </w:r>
      <w:r w:rsidRPr="00266CDC">
        <w:rPr>
          <w:rFonts w:cs="Arial"/>
          <w:szCs w:val="24"/>
          <w:u w:val="single"/>
        </w:rPr>
        <w:t xml:space="preserve"> to determine the total power in kVA required based on the total number of actual parking spaces. </w:t>
      </w:r>
    </w:p>
    <w:p w14:paraId="0789547B" w14:textId="77777777" w:rsidR="00464C50" w:rsidRPr="00266CDC" w:rsidRDefault="00464C50" w:rsidP="00C418C2">
      <w:pPr>
        <w:ind w:left="720"/>
        <w:rPr>
          <w:rFonts w:cs="Arial"/>
          <w:szCs w:val="24"/>
          <w:u w:val="single"/>
        </w:rPr>
      </w:pPr>
    </w:p>
    <w:p w14:paraId="7D3E268D" w14:textId="77777777" w:rsidR="00C418C2" w:rsidRPr="00266CDC" w:rsidRDefault="00C418C2" w:rsidP="00C418C2">
      <w:pPr>
        <w:ind w:left="720"/>
        <w:rPr>
          <w:rFonts w:cs="Arial"/>
          <w:szCs w:val="24"/>
          <w:u w:val="single"/>
        </w:rPr>
      </w:pPr>
      <w:r w:rsidRPr="00266CDC">
        <w:rPr>
          <w:rFonts w:cs="Arial"/>
          <w:szCs w:val="24"/>
          <w:u w:val="single"/>
        </w:rPr>
        <w:t>Power allocation method shall include the following:</w:t>
      </w:r>
    </w:p>
    <w:p w14:paraId="5459EA07" w14:textId="77777777" w:rsidR="00C418C2" w:rsidRPr="00266CDC" w:rsidRDefault="00C418C2" w:rsidP="00AE7B84">
      <w:pPr>
        <w:widowControl w:val="0"/>
        <w:numPr>
          <w:ilvl w:val="0"/>
          <w:numId w:val="15"/>
        </w:numPr>
        <w:rPr>
          <w:rFonts w:eastAsia="Batang" w:cs="Arial"/>
          <w:szCs w:val="24"/>
          <w:u w:val="single"/>
        </w:rPr>
      </w:pPr>
      <w:r w:rsidRPr="00266CDC">
        <w:rPr>
          <w:rFonts w:eastAsia="Batang" w:cs="Arial"/>
          <w:szCs w:val="24"/>
          <w:u w:val="single"/>
        </w:rPr>
        <w:t>Use any kVA combination of EV capable spaces, Low Power Level 2, Level 2 or DCFC EVSEs.</w:t>
      </w:r>
    </w:p>
    <w:p w14:paraId="187403A9" w14:textId="77777777" w:rsidR="00C418C2" w:rsidRPr="00266CDC" w:rsidRDefault="00C418C2" w:rsidP="00AE7B84">
      <w:pPr>
        <w:widowControl w:val="0"/>
        <w:numPr>
          <w:ilvl w:val="0"/>
          <w:numId w:val="15"/>
        </w:numPr>
        <w:ind w:left="1440"/>
        <w:rPr>
          <w:rFonts w:eastAsia="Batang" w:cs="Arial"/>
          <w:szCs w:val="24"/>
          <w:u w:val="single"/>
        </w:rPr>
      </w:pPr>
      <w:r w:rsidRPr="00266CDC">
        <w:rPr>
          <w:rFonts w:eastAsia="Batang" w:cs="Arial"/>
          <w:szCs w:val="24"/>
          <w:u w:val="single"/>
        </w:rPr>
        <w:t>At least one Level 2 EVSE shall be provided.</w:t>
      </w:r>
    </w:p>
    <w:p w14:paraId="35BD1A33" w14:textId="77777777" w:rsidR="00C418C2" w:rsidRPr="00266CDC" w:rsidRDefault="00C418C2" w:rsidP="00C418C2">
      <w:pPr>
        <w:rPr>
          <w:rFonts w:eastAsia="Batang" w:cs="Arial"/>
          <w:b/>
          <w:bCs/>
          <w:szCs w:val="24"/>
          <w:u w:val="single"/>
        </w:rPr>
      </w:pPr>
    </w:p>
    <w:p w14:paraId="32A2EC06" w14:textId="77777777" w:rsidR="00C418C2" w:rsidRPr="00266CDC" w:rsidRDefault="00C418C2" w:rsidP="00C418C2">
      <w:pPr>
        <w:snapToGrid w:val="0"/>
        <w:spacing w:before="240" w:after="240" w:line="259" w:lineRule="auto"/>
        <w:contextualSpacing/>
        <w:jc w:val="center"/>
        <w:rPr>
          <w:rFonts w:eastAsia="Batang" w:cs="Arial"/>
          <w:b/>
          <w:bCs/>
          <w:szCs w:val="24"/>
          <w:u w:val="single"/>
        </w:rPr>
      </w:pPr>
      <w:r w:rsidRPr="00266CDC">
        <w:rPr>
          <w:rFonts w:eastAsia="Batang" w:cs="Arial"/>
          <w:b/>
          <w:bCs/>
          <w:szCs w:val="24"/>
          <w:u w:val="single"/>
        </w:rPr>
        <w:t xml:space="preserve">TABLE </w:t>
      </w:r>
      <w:r w:rsidRPr="00AE7B84">
        <w:rPr>
          <w:rFonts w:eastAsia="Batang" w:cs="Arial"/>
          <w:b/>
          <w:bCs/>
          <w:szCs w:val="24"/>
          <w:u w:val="single"/>
        </w:rPr>
        <w:t>A5.106.5.3.4 Tier 2</w:t>
      </w:r>
    </w:p>
    <w:tbl>
      <w:tblPr>
        <w:tblW w:w="7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376"/>
        <w:gridCol w:w="1769"/>
        <w:gridCol w:w="4050"/>
      </w:tblGrid>
      <w:tr w:rsidR="00C418C2" w:rsidRPr="00266CDC" w14:paraId="2EF52F45" w14:textId="77777777" w:rsidTr="009506EF">
        <w:trPr>
          <w:cantSplit/>
          <w:trHeight w:val="246"/>
          <w:tblHeader/>
          <w:jc w:val="center"/>
        </w:trPr>
        <w:tc>
          <w:tcPr>
            <w:tcW w:w="1376" w:type="dxa"/>
            <w:shd w:val="clear" w:color="auto" w:fill="auto"/>
          </w:tcPr>
          <w:p w14:paraId="2F455F53" w14:textId="77777777" w:rsidR="00C418C2" w:rsidRPr="00266CDC" w:rsidRDefault="00C418C2" w:rsidP="009506EF">
            <w:pPr>
              <w:jc w:val="center"/>
              <w:rPr>
                <w:rFonts w:eastAsia="Calibri" w:cs="Arial"/>
                <w:b/>
                <w:color w:val="000000"/>
                <w:sz w:val="22"/>
                <w:szCs w:val="24"/>
                <w:u w:val="single"/>
              </w:rPr>
            </w:pPr>
            <w:r w:rsidRPr="00266CDC">
              <w:rPr>
                <w:rFonts w:eastAsia="Calibri" w:cs="Arial"/>
                <w:b/>
                <w:color w:val="000000"/>
                <w:sz w:val="22"/>
                <w:szCs w:val="24"/>
                <w:u w:val="single"/>
              </w:rPr>
              <w:t xml:space="preserve">TOTAL NUMBER OF </w:t>
            </w:r>
          </w:p>
          <w:p w14:paraId="1366AF06" w14:textId="77777777" w:rsidR="00C418C2" w:rsidRPr="00266CDC" w:rsidRDefault="00C418C2" w:rsidP="009506EF">
            <w:pPr>
              <w:jc w:val="center"/>
              <w:rPr>
                <w:rFonts w:eastAsia="Calibri" w:cs="Arial"/>
                <w:b/>
                <w:color w:val="000000"/>
                <w:sz w:val="22"/>
                <w:szCs w:val="24"/>
                <w:u w:val="single"/>
              </w:rPr>
            </w:pPr>
            <w:r w:rsidRPr="00266CDC">
              <w:rPr>
                <w:rFonts w:eastAsia="Calibri" w:cs="Arial"/>
                <w:b/>
                <w:color w:val="000000"/>
                <w:sz w:val="22"/>
                <w:szCs w:val="24"/>
                <w:u w:val="single"/>
              </w:rPr>
              <w:t>ACTUAL PARKING SPACES</w:t>
            </w:r>
          </w:p>
        </w:tc>
        <w:tc>
          <w:tcPr>
            <w:tcW w:w="1769" w:type="dxa"/>
            <w:shd w:val="clear" w:color="auto" w:fill="auto"/>
          </w:tcPr>
          <w:p w14:paraId="655531AC" w14:textId="77777777" w:rsidR="00C418C2" w:rsidRPr="00266CDC" w:rsidRDefault="00C418C2" w:rsidP="009506EF">
            <w:pPr>
              <w:jc w:val="center"/>
              <w:rPr>
                <w:rFonts w:eastAsia="Calibri" w:cs="Arial"/>
                <w:b/>
                <w:color w:val="000000"/>
                <w:sz w:val="28"/>
                <w:szCs w:val="28"/>
                <w:vertAlign w:val="superscript"/>
              </w:rPr>
            </w:pPr>
            <w:r w:rsidRPr="00266CDC">
              <w:rPr>
                <w:rFonts w:eastAsia="Calibri" w:cs="Arial"/>
                <w:b/>
                <w:color w:val="000000"/>
                <w:sz w:val="22"/>
                <w:szCs w:val="24"/>
                <w:u w:val="single"/>
              </w:rPr>
              <w:t xml:space="preserve">MINIMUM TOTAL kVA </w:t>
            </w:r>
          </w:p>
          <w:p w14:paraId="105F920B" w14:textId="77777777" w:rsidR="00C418C2" w:rsidRPr="00266CDC" w:rsidRDefault="00C418C2" w:rsidP="009506EF">
            <w:pPr>
              <w:jc w:val="center"/>
              <w:rPr>
                <w:rFonts w:eastAsia="Calibri" w:cs="Arial"/>
                <w:b/>
                <w:color w:val="000000"/>
                <w:sz w:val="22"/>
                <w:szCs w:val="24"/>
                <w:u w:val="single"/>
              </w:rPr>
            </w:pPr>
            <w:r w:rsidRPr="00266CDC">
              <w:rPr>
                <w:rFonts w:eastAsia="Calibri" w:cs="Arial"/>
                <w:b/>
                <w:color w:val="000000"/>
                <w:sz w:val="22"/>
                <w:szCs w:val="24"/>
                <w:u w:val="single"/>
              </w:rPr>
              <w:t>@ 6.6 kVA</w:t>
            </w:r>
          </w:p>
          <w:p w14:paraId="3D725B74" w14:textId="77777777" w:rsidR="00C418C2" w:rsidRPr="00266CDC" w:rsidRDefault="00C418C2" w:rsidP="009506EF">
            <w:pPr>
              <w:jc w:val="center"/>
              <w:rPr>
                <w:rFonts w:eastAsia="Calibri" w:cs="Arial"/>
                <w:b/>
                <w:color w:val="000000"/>
                <w:sz w:val="22"/>
                <w:szCs w:val="24"/>
                <w:u w:val="single"/>
              </w:rPr>
            </w:pPr>
          </w:p>
        </w:tc>
        <w:tc>
          <w:tcPr>
            <w:tcW w:w="4050" w:type="dxa"/>
            <w:shd w:val="clear" w:color="auto" w:fill="auto"/>
          </w:tcPr>
          <w:p w14:paraId="672B5877" w14:textId="77777777" w:rsidR="00C418C2" w:rsidRPr="00266CDC" w:rsidRDefault="00C418C2" w:rsidP="009506EF">
            <w:pPr>
              <w:jc w:val="center"/>
              <w:rPr>
                <w:rFonts w:eastAsia="Calibri" w:cs="Arial"/>
                <w:b/>
                <w:color w:val="000000"/>
                <w:sz w:val="22"/>
                <w:szCs w:val="24"/>
                <w:u w:val="single"/>
              </w:rPr>
            </w:pPr>
            <w:r w:rsidRPr="00266CDC">
              <w:rPr>
                <w:rFonts w:eastAsia="Calibri" w:cs="Arial"/>
                <w:b/>
                <w:color w:val="000000"/>
                <w:sz w:val="22"/>
                <w:szCs w:val="24"/>
                <w:u w:val="single"/>
              </w:rPr>
              <w:t>TOTAL kVA REQUIRED</w:t>
            </w:r>
          </w:p>
          <w:p w14:paraId="04EDB995" w14:textId="77777777" w:rsidR="00C418C2" w:rsidRPr="00266CDC" w:rsidRDefault="00C418C2" w:rsidP="009506EF">
            <w:pPr>
              <w:jc w:val="center"/>
              <w:rPr>
                <w:rFonts w:eastAsia="Calibri" w:cs="Arial"/>
                <w:b/>
                <w:color w:val="000000"/>
                <w:sz w:val="22"/>
                <w:szCs w:val="24"/>
                <w:u w:val="single"/>
              </w:rPr>
            </w:pPr>
            <w:r w:rsidRPr="00266CDC">
              <w:rPr>
                <w:rFonts w:eastAsia="Calibri" w:cs="Arial"/>
                <w:b/>
                <w:color w:val="000000"/>
                <w:sz w:val="22"/>
                <w:szCs w:val="24"/>
                <w:u w:val="single"/>
              </w:rPr>
              <w:t>IN ANY COMBINATION OF EV CAPABLE</w:t>
            </w:r>
            <w:r w:rsidRPr="00266CDC">
              <w:rPr>
                <w:rFonts w:eastAsia="Calibri" w:cs="Arial"/>
                <w:b/>
                <w:color w:val="000000"/>
                <w:sz w:val="28"/>
                <w:szCs w:val="28"/>
                <w:vertAlign w:val="superscript"/>
              </w:rPr>
              <w:t xml:space="preserve"> </w:t>
            </w:r>
            <w:r w:rsidRPr="00266CDC">
              <w:rPr>
                <w:rFonts w:eastAsia="Calibri" w:cs="Arial"/>
                <w:b/>
                <w:color w:val="000000"/>
                <w:sz w:val="28"/>
                <w:szCs w:val="28"/>
                <w:u w:val="single"/>
                <w:vertAlign w:val="superscript"/>
              </w:rPr>
              <w:t>3, 4</w:t>
            </w:r>
            <w:r w:rsidRPr="00266CDC">
              <w:rPr>
                <w:rFonts w:eastAsia="Calibri" w:cs="Arial"/>
                <w:b/>
                <w:color w:val="000000"/>
                <w:sz w:val="22"/>
                <w:szCs w:val="24"/>
                <w:u w:val="single"/>
              </w:rPr>
              <w:t>, LOW POWER LEVEL 2 LEVEL 2</w:t>
            </w:r>
            <w:r w:rsidRPr="00266CDC">
              <w:rPr>
                <w:rFonts w:eastAsia="Calibri" w:cs="Arial"/>
                <w:b/>
                <w:bCs/>
                <w:sz w:val="28"/>
                <w:szCs w:val="28"/>
                <w:u w:val="single"/>
                <w:vertAlign w:val="superscript"/>
              </w:rPr>
              <w:t xml:space="preserve"> 1, </w:t>
            </w:r>
            <w:r w:rsidRPr="00266CDC">
              <w:rPr>
                <w:rFonts w:eastAsia="Calibri" w:cs="Arial"/>
                <w:b/>
                <w:bCs/>
                <w:sz w:val="28"/>
                <w:szCs w:val="28"/>
                <w:vertAlign w:val="superscript"/>
              </w:rPr>
              <w:t>2</w:t>
            </w:r>
            <w:r w:rsidRPr="00266CDC">
              <w:rPr>
                <w:rFonts w:eastAsia="Calibri" w:cs="Arial"/>
                <w:b/>
                <w:color w:val="000000"/>
                <w:sz w:val="22"/>
                <w:szCs w:val="24"/>
                <w:u w:val="single"/>
              </w:rPr>
              <w:t>, OR DCFC</w:t>
            </w:r>
          </w:p>
        </w:tc>
      </w:tr>
      <w:tr w:rsidR="00C418C2" w:rsidRPr="00266CDC" w14:paraId="6EF7668F" w14:textId="77777777" w:rsidTr="009506EF">
        <w:trPr>
          <w:cantSplit/>
          <w:trHeight w:val="311"/>
          <w:jc w:val="center"/>
        </w:trPr>
        <w:tc>
          <w:tcPr>
            <w:tcW w:w="1376" w:type="dxa"/>
            <w:shd w:val="clear" w:color="auto" w:fill="auto"/>
          </w:tcPr>
          <w:p w14:paraId="0F232F01" w14:textId="77777777" w:rsidR="00C418C2" w:rsidRPr="00266CDC" w:rsidRDefault="00C418C2" w:rsidP="009506EF">
            <w:pPr>
              <w:jc w:val="center"/>
              <w:rPr>
                <w:rFonts w:eastAsia="Calibri" w:cs="Arial"/>
                <w:color w:val="000000"/>
                <w:sz w:val="22"/>
                <w:szCs w:val="24"/>
                <w:u w:val="single"/>
              </w:rPr>
            </w:pPr>
            <w:r w:rsidRPr="00266CDC">
              <w:rPr>
                <w:rFonts w:eastAsia="Calibri" w:cs="Arial"/>
                <w:color w:val="000000"/>
                <w:sz w:val="22"/>
                <w:szCs w:val="24"/>
                <w:u w:val="single"/>
              </w:rPr>
              <w:t>0-9</w:t>
            </w:r>
          </w:p>
        </w:tc>
        <w:tc>
          <w:tcPr>
            <w:tcW w:w="1769" w:type="dxa"/>
            <w:shd w:val="clear" w:color="auto" w:fill="auto"/>
          </w:tcPr>
          <w:p w14:paraId="53CEF109" w14:textId="77777777" w:rsidR="00C418C2" w:rsidRPr="00266CDC" w:rsidRDefault="00C418C2" w:rsidP="009506EF">
            <w:pPr>
              <w:jc w:val="center"/>
              <w:rPr>
                <w:rFonts w:eastAsia="Calibri" w:cs="Arial"/>
                <w:color w:val="000000"/>
                <w:sz w:val="22"/>
                <w:szCs w:val="24"/>
                <w:u w:val="single"/>
              </w:rPr>
            </w:pPr>
            <w:r>
              <w:rPr>
                <w:rFonts w:eastAsia="Calibri" w:cs="Arial"/>
                <w:color w:val="000000"/>
                <w:sz w:val="22"/>
                <w:szCs w:val="24"/>
                <w:u w:val="single"/>
              </w:rPr>
              <w:t>28.8</w:t>
            </w:r>
          </w:p>
        </w:tc>
        <w:tc>
          <w:tcPr>
            <w:tcW w:w="4050" w:type="dxa"/>
            <w:shd w:val="clear" w:color="auto" w:fill="auto"/>
          </w:tcPr>
          <w:p w14:paraId="4501BE89" w14:textId="76F52657" w:rsidR="00C418C2" w:rsidRPr="00266CDC" w:rsidRDefault="00C418C2" w:rsidP="009506EF">
            <w:pPr>
              <w:jc w:val="center"/>
              <w:rPr>
                <w:rFonts w:eastAsia="Calibri" w:cs="Arial"/>
                <w:color w:val="000000"/>
                <w:sz w:val="22"/>
                <w:szCs w:val="24"/>
                <w:u w:val="single"/>
              </w:rPr>
            </w:pPr>
            <w:r>
              <w:rPr>
                <w:rFonts w:eastAsia="Calibri" w:cs="Arial"/>
                <w:color w:val="000000"/>
                <w:sz w:val="22"/>
                <w:szCs w:val="24"/>
                <w:u w:val="single"/>
              </w:rPr>
              <w:t>2</w:t>
            </w:r>
            <w:r w:rsidR="00C51AF6">
              <w:rPr>
                <w:rFonts w:eastAsia="Calibri" w:cs="Arial"/>
                <w:color w:val="000000"/>
                <w:sz w:val="22"/>
                <w:szCs w:val="24"/>
                <w:u w:val="single"/>
              </w:rPr>
              <w:t>8</w:t>
            </w:r>
            <w:r>
              <w:rPr>
                <w:rFonts w:eastAsia="Calibri" w:cs="Arial"/>
                <w:color w:val="000000"/>
                <w:sz w:val="22"/>
                <w:szCs w:val="24"/>
                <w:u w:val="single"/>
              </w:rPr>
              <w:t>.8</w:t>
            </w:r>
          </w:p>
        </w:tc>
      </w:tr>
      <w:tr w:rsidR="00C418C2" w:rsidRPr="00266CDC" w14:paraId="47B3E20A" w14:textId="77777777" w:rsidTr="009506EF">
        <w:trPr>
          <w:cantSplit/>
          <w:trHeight w:val="376"/>
          <w:jc w:val="center"/>
        </w:trPr>
        <w:tc>
          <w:tcPr>
            <w:tcW w:w="1376" w:type="dxa"/>
            <w:shd w:val="clear" w:color="auto" w:fill="auto"/>
          </w:tcPr>
          <w:p w14:paraId="24265F28" w14:textId="77777777" w:rsidR="00C418C2" w:rsidRPr="00266CDC" w:rsidRDefault="00C418C2" w:rsidP="009506EF">
            <w:pPr>
              <w:jc w:val="center"/>
              <w:rPr>
                <w:rFonts w:eastAsia="Calibri" w:cs="Arial"/>
                <w:color w:val="000000"/>
                <w:sz w:val="22"/>
                <w:szCs w:val="24"/>
                <w:u w:val="single"/>
              </w:rPr>
            </w:pPr>
            <w:r w:rsidRPr="00266CDC">
              <w:rPr>
                <w:rFonts w:eastAsia="Calibri" w:cs="Arial"/>
                <w:color w:val="000000"/>
                <w:sz w:val="22"/>
                <w:szCs w:val="24"/>
                <w:u w:val="single"/>
              </w:rPr>
              <w:t>10-25</w:t>
            </w:r>
          </w:p>
        </w:tc>
        <w:tc>
          <w:tcPr>
            <w:tcW w:w="1769" w:type="dxa"/>
            <w:shd w:val="clear" w:color="auto" w:fill="auto"/>
          </w:tcPr>
          <w:p w14:paraId="6F1D47E3" w14:textId="77777777" w:rsidR="00C418C2" w:rsidRPr="00EC46BC" w:rsidRDefault="00C418C2" w:rsidP="009506EF">
            <w:pPr>
              <w:jc w:val="center"/>
              <w:rPr>
                <w:rFonts w:eastAsia="Calibri" w:cs="Arial"/>
                <w:sz w:val="22"/>
                <w:szCs w:val="24"/>
                <w:u w:val="single"/>
              </w:rPr>
            </w:pPr>
            <w:r w:rsidRPr="00EC46BC">
              <w:rPr>
                <w:rFonts w:eastAsia="Calibri" w:cs="Arial"/>
                <w:sz w:val="22"/>
                <w:szCs w:val="24"/>
                <w:u w:val="single"/>
              </w:rPr>
              <w:t>76.8</w:t>
            </w:r>
          </w:p>
        </w:tc>
        <w:tc>
          <w:tcPr>
            <w:tcW w:w="4050" w:type="dxa"/>
            <w:shd w:val="clear" w:color="auto" w:fill="auto"/>
          </w:tcPr>
          <w:p w14:paraId="515BBECF" w14:textId="77777777" w:rsidR="00C418C2" w:rsidRPr="00266CDC" w:rsidRDefault="00C418C2" w:rsidP="009506EF">
            <w:pPr>
              <w:jc w:val="center"/>
              <w:rPr>
                <w:rFonts w:eastAsia="Calibri" w:cs="Arial"/>
                <w:sz w:val="22"/>
                <w:szCs w:val="24"/>
                <w:u w:val="single"/>
              </w:rPr>
            </w:pPr>
            <w:r w:rsidRPr="00EC46BC">
              <w:rPr>
                <w:rFonts w:eastAsia="Calibri" w:cs="Arial"/>
                <w:sz w:val="22"/>
                <w:szCs w:val="24"/>
                <w:u w:val="single"/>
              </w:rPr>
              <w:t>76.8</w:t>
            </w:r>
          </w:p>
        </w:tc>
      </w:tr>
      <w:tr w:rsidR="00C418C2" w:rsidRPr="00266CDC" w14:paraId="1877AB1B" w14:textId="77777777" w:rsidTr="009506EF">
        <w:trPr>
          <w:cantSplit/>
          <w:trHeight w:val="367"/>
          <w:jc w:val="center"/>
        </w:trPr>
        <w:tc>
          <w:tcPr>
            <w:tcW w:w="1376" w:type="dxa"/>
            <w:shd w:val="clear" w:color="auto" w:fill="auto"/>
          </w:tcPr>
          <w:p w14:paraId="5AF3877A" w14:textId="77777777" w:rsidR="00C418C2" w:rsidRPr="00266CDC" w:rsidRDefault="00C418C2" w:rsidP="009506EF">
            <w:pPr>
              <w:tabs>
                <w:tab w:val="center" w:pos="924"/>
              </w:tabs>
              <w:jc w:val="center"/>
              <w:rPr>
                <w:rFonts w:eastAsia="Calibri" w:cs="Arial"/>
                <w:color w:val="000000"/>
                <w:sz w:val="22"/>
                <w:szCs w:val="24"/>
                <w:u w:val="single"/>
              </w:rPr>
            </w:pPr>
            <w:r w:rsidRPr="00266CDC">
              <w:rPr>
                <w:rFonts w:eastAsia="Calibri" w:cs="Arial"/>
                <w:color w:val="000000"/>
                <w:sz w:val="22"/>
                <w:szCs w:val="24"/>
                <w:u w:val="single"/>
              </w:rPr>
              <w:t>26-50</w:t>
            </w:r>
          </w:p>
        </w:tc>
        <w:tc>
          <w:tcPr>
            <w:tcW w:w="1769" w:type="dxa"/>
            <w:shd w:val="clear" w:color="auto" w:fill="auto"/>
          </w:tcPr>
          <w:p w14:paraId="4BA13819" w14:textId="77777777" w:rsidR="00C418C2" w:rsidRPr="00266CDC" w:rsidRDefault="00C418C2" w:rsidP="009506EF">
            <w:pPr>
              <w:jc w:val="center"/>
              <w:rPr>
                <w:rFonts w:eastAsia="Calibri" w:cs="Arial"/>
                <w:sz w:val="22"/>
                <w:szCs w:val="24"/>
                <w:u w:val="single"/>
              </w:rPr>
            </w:pPr>
            <w:r>
              <w:rPr>
                <w:rFonts w:eastAsia="Calibri" w:cs="Arial"/>
                <w:sz w:val="22"/>
                <w:szCs w:val="24"/>
                <w:u w:val="single"/>
              </w:rPr>
              <w:t>163.2</w:t>
            </w:r>
          </w:p>
        </w:tc>
        <w:tc>
          <w:tcPr>
            <w:tcW w:w="4050" w:type="dxa"/>
            <w:shd w:val="clear" w:color="auto" w:fill="auto"/>
          </w:tcPr>
          <w:p w14:paraId="02F1FCB0" w14:textId="77777777" w:rsidR="00C418C2" w:rsidRPr="00266CDC" w:rsidRDefault="00C418C2" w:rsidP="009506EF">
            <w:pPr>
              <w:jc w:val="center"/>
              <w:rPr>
                <w:rFonts w:eastAsia="Calibri" w:cs="Arial"/>
                <w:sz w:val="22"/>
                <w:szCs w:val="24"/>
                <w:u w:val="single"/>
              </w:rPr>
            </w:pPr>
            <w:r>
              <w:rPr>
                <w:rFonts w:eastAsia="Calibri" w:cs="Arial"/>
                <w:sz w:val="22"/>
                <w:szCs w:val="24"/>
                <w:u w:val="single"/>
              </w:rPr>
              <w:t>163.2</w:t>
            </w:r>
          </w:p>
        </w:tc>
      </w:tr>
      <w:tr w:rsidR="00C418C2" w:rsidRPr="00266CDC" w14:paraId="15D5543D" w14:textId="77777777" w:rsidTr="009506EF">
        <w:trPr>
          <w:cantSplit/>
          <w:trHeight w:val="349"/>
          <w:jc w:val="center"/>
        </w:trPr>
        <w:tc>
          <w:tcPr>
            <w:tcW w:w="1376" w:type="dxa"/>
            <w:shd w:val="clear" w:color="auto" w:fill="auto"/>
          </w:tcPr>
          <w:p w14:paraId="41EBE302" w14:textId="77777777" w:rsidR="00C418C2" w:rsidRPr="00266CDC" w:rsidRDefault="00C418C2" w:rsidP="009506EF">
            <w:pPr>
              <w:jc w:val="center"/>
              <w:rPr>
                <w:rFonts w:eastAsia="Calibri" w:cs="Arial"/>
                <w:color w:val="000000"/>
                <w:sz w:val="22"/>
                <w:szCs w:val="24"/>
                <w:u w:val="single"/>
              </w:rPr>
            </w:pPr>
            <w:r w:rsidRPr="00266CDC">
              <w:rPr>
                <w:rFonts w:eastAsia="Calibri" w:cs="Arial"/>
                <w:color w:val="000000"/>
                <w:sz w:val="22"/>
                <w:szCs w:val="24"/>
                <w:u w:val="single"/>
              </w:rPr>
              <w:t>51-75</w:t>
            </w:r>
          </w:p>
        </w:tc>
        <w:tc>
          <w:tcPr>
            <w:tcW w:w="1769" w:type="dxa"/>
            <w:shd w:val="clear" w:color="auto" w:fill="auto"/>
          </w:tcPr>
          <w:p w14:paraId="1170970D" w14:textId="77777777" w:rsidR="00C418C2" w:rsidRPr="00266CDC" w:rsidRDefault="00C418C2" w:rsidP="009506EF">
            <w:pPr>
              <w:jc w:val="center"/>
              <w:rPr>
                <w:rFonts w:eastAsia="Calibri" w:cs="Arial"/>
                <w:sz w:val="22"/>
                <w:szCs w:val="24"/>
                <w:u w:val="single"/>
              </w:rPr>
            </w:pPr>
            <w:r>
              <w:rPr>
                <w:rFonts w:eastAsia="Calibri" w:cs="Arial"/>
                <w:sz w:val="22"/>
                <w:szCs w:val="24"/>
                <w:u w:val="single"/>
              </w:rPr>
              <w:t>268.8</w:t>
            </w:r>
          </w:p>
        </w:tc>
        <w:tc>
          <w:tcPr>
            <w:tcW w:w="4050" w:type="dxa"/>
            <w:shd w:val="clear" w:color="auto" w:fill="auto"/>
          </w:tcPr>
          <w:p w14:paraId="275F809A" w14:textId="77777777" w:rsidR="00C418C2" w:rsidRPr="00266CDC" w:rsidRDefault="00C418C2" w:rsidP="009506EF">
            <w:pPr>
              <w:jc w:val="center"/>
              <w:rPr>
                <w:rFonts w:eastAsia="Calibri" w:cs="Arial"/>
                <w:sz w:val="22"/>
                <w:szCs w:val="24"/>
                <w:u w:val="single"/>
              </w:rPr>
            </w:pPr>
            <w:r>
              <w:rPr>
                <w:rFonts w:eastAsia="Calibri" w:cs="Arial"/>
                <w:sz w:val="22"/>
                <w:szCs w:val="24"/>
                <w:u w:val="single"/>
              </w:rPr>
              <w:t>268.8</w:t>
            </w:r>
          </w:p>
        </w:tc>
      </w:tr>
      <w:tr w:rsidR="00C418C2" w:rsidRPr="00266CDC" w14:paraId="741FEE0A" w14:textId="77777777" w:rsidTr="009506EF">
        <w:trPr>
          <w:cantSplit/>
          <w:trHeight w:val="421"/>
          <w:jc w:val="center"/>
        </w:trPr>
        <w:tc>
          <w:tcPr>
            <w:tcW w:w="1376" w:type="dxa"/>
            <w:shd w:val="clear" w:color="auto" w:fill="auto"/>
          </w:tcPr>
          <w:p w14:paraId="340D55CB" w14:textId="77777777" w:rsidR="00C418C2" w:rsidRPr="00266CDC" w:rsidRDefault="00C418C2" w:rsidP="009506EF">
            <w:pPr>
              <w:jc w:val="center"/>
              <w:rPr>
                <w:rFonts w:eastAsia="Calibri" w:cs="Arial"/>
                <w:color w:val="000000"/>
                <w:sz w:val="22"/>
                <w:szCs w:val="24"/>
                <w:u w:val="single"/>
              </w:rPr>
            </w:pPr>
            <w:r w:rsidRPr="00266CDC">
              <w:rPr>
                <w:rFonts w:eastAsia="Calibri" w:cs="Arial"/>
                <w:color w:val="000000"/>
                <w:sz w:val="22"/>
                <w:szCs w:val="24"/>
                <w:u w:val="single"/>
              </w:rPr>
              <w:t>76-100</w:t>
            </w:r>
          </w:p>
        </w:tc>
        <w:tc>
          <w:tcPr>
            <w:tcW w:w="1769" w:type="dxa"/>
            <w:shd w:val="clear" w:color="auto" w:fill="auto"/>
          </w:tcPr>
          <w:p w14:paraId="7EA117F8" w14:textId="77777777" w:rsidR="00C418C2" w:rsidRPr="00266CDC" w:rsidRDefault="00C418C2" w:rsidP="009506EF">
            <w:pPr>
              <w:jc w:val="center"/>
              <w:rPr>
                <w:rFonts w:eastAsia="Calibri" w:cs="Arial"/>
                <w:sz w:val="22"/>
                <w:szCs w:val="24"/>
                <w:u w:val="single"/>
              </w:rPr>
            </w:pPr>
            <w:r>
              <w:rPr>
                <w:rFonts w:eastAsia="Calibri" w:cs="Arial"/>
                <w:sz w:val="22"/>
                <w:szCs w:val="24"/>
                <w:u w:val="single"/>
              </w:rPr>
              <w:t>384</w:t>
            </w:r>
          </w:p>
        </w:tc>
        <w:tc>
          <w:tcPr>
            <w:tcW w:w="4050" w:type="dxa"/>
            <w:shd w:val="clear" w:color="auto" w:fill="auto"/>
          </w:tcPr>
          <w:p w14:paraId="05219363" w14:textId="77777777" w:rsidR="00C418C2" w:rsidRPr="00266CDC" w:rsidRDefault="00C418C2" w:rsidP="009506EF">
            <w:pPr>
              <w:jc w:val="center"/>
              <w:rPr>
                <w:rFonts w:eastAsia="Calibri" w:cs="Arial"/>
                <w:sz w:val="22"/>
                <w:szCs w:val="24"/>
                <w:u w:val="single"/>
              </w:rPr>
            </w:pPr>
            <w:r>
              <w:rPr>
                <w:rFonts w:eastAsia="Calibri" w:cs="Arial"/>
                <w:sz w:val="22"/>
                <w:szCs w:val="24"/>
                <w:u w:val="single"/>
              </w:rPr>
              <w:t>384</w:t>
            </w:r>
          </w:p>
        </w:tc>
      </w:tr>
      <w:tr w:rsidR="00C418C2" w:rsidRPr="00266CDC" w14:paraId="2F36F9ED" w14:textId="77777777" w:rsidTr="009506EF">
        <w:trPr>
          <w:cantSplit/>
          <w:trHeight w:val="322"/>
          <w:jc w:val="center"/>
        </w:trPr>
        <w:tc>
          <w:tcPr>
            <w:tcW w:w="1376" w:type="dxa"/>
            <w:shd w:val="clear" w:color="auto" w:fill="auto"/>
          </w:tcPr>
          <w:p w14:paraId="07FBF4DD" w14:textId="77777777" w:rsidR="00C418C2" w:rsidRPr="00266CDC" w:rsidRDefault="00C418C2" w:rsidP="009506EF">
            <w:pPr>
              <w:jc w:val="center"/>
              <w:rPr>
                <w:rFonts w:eastAsia="Calibri" w:cs="Arial"/>
                <w:color w:val="000000"/>
                <w:sz w:val="22"/>
                <w:szCs w:val="24"/>
                <w:u w:val="single"/>
              </w:rPr>
            </w:pPr>
            <w:r w:rsidRPr="00266CDC">
              <w:rPr>
                <w:rFonts w:eastAsia="Calibri" w:cs="Arial"/>
                <w:color w:val="000000"/>
                <w:sz w:val="22"/>
                <w:szCs w:val="24"/>
                <w:u w:val="single"/>
              </w:rPr>
              <w:t>101-150</w:t>
            </w:r>
          </w:p>
        </w:tc>
        <w:tc>
          <w:tcPr>
            <w:tcW w:w="1769" w:type="dxa"/>
            <w:shd w:val="clear" w:color="auto" w:fill="auto"/>
          </w:tcPr>
          <w:p w14:paraId="67ED863E" w14:textId="77777777" w:rsidR="00C418C2" w:rsidRPr="00266CDC" w:rsidRDefault="00C418C2" w:rsidP="009506EF">
            <w:pPr>
              <w:jc w:val="center"/>
              <w:rPr>
                <w:rFonts w:eastAsia="Calibri" w:cs="Arial"/>
                <w:sz w:val="22"/>
                <w:szCs w:val="24"/>
                <w:u w:val="single"/>
              </w:rPr>
            </w:pPr>
            <w:r>
              <w:rPr>
                <w:rFonts w:eastAsia="Calibri" w:cs="Arial"/>
                <w:sz w:val="22"/>
                <w:szCs w:val="24"/>
                <w:u w:val="single"/>
              </w:rPr>
              <w:t>547.2</w:t>
            </w:r>
          </w:p>
        </w:tc>
        <w:tc>
          <w:tcPr>
            <w:tcW w:w="4050" w:type="dxa"/>
            <w:shd w:val="clear" w:color="auto" w:fill="auto"/>
          </w:tcPr>
          <w:p w14:paraId="1E43EF10" w14:textId="77777777" w:rsidR="00C418C2" w:rsidRPr="00266CDC" w:rsidRDefault="00C418C2" w:rsidP="009506EF">
            <w:pPr>
              <w:jc w:val="center"/>
              <w:rPr>
                <w:rFonts w:eastAsia="Calibri" w:cs="Arial"/>
                <w:sz w:val="22"/>
                <w:szCs w:val="24"/>
                <w:u w:val="single"/>
              </w:rPr>
            </w:pPr>
            <w:r>
              <w:rPr>
                <w:rFonts w:eastAsia="Calibri" w:cs="Arial"/>
                <w:sz w:val="22"/>
                <w:szCs w:val="24"/>
                <w:u w:val="single"/>
              </w:rPr>
              <w:t>547.2</w:t>
            </w:r>
          </w:p>
        </w:tc>
      </w:tr>
      <w:tr w:rsidR="00C418C2" w:rsidRPr="00266CDC" w14:paraId="19D8FA24" w14:textId="77777777" w:rsidTr="009506EF">
        <w:trPr>
          <w:cantSplit/>
          <w:trHeight w:val="394"/>
          <w:jc w:val="center"/>
        </w:trPr>
        <w:tc>
          <w:tcPr>
            <w:tcW w:w="1376" w:type="dxa"/>
            <w:shd w:val="clear" w:color="auto" w:fill="auto"/>
          </w:tcPr>
          <w:p w14:paraId="6B1ECD04" w14:textId="77777777" w:rsidR="00C418C2" w:rsidRPr="00266CDC" w:rsidRDefault="00C418C2" w:rsidP="009506EF">
            <w:pPr>
              <w:jc w:val="center"/>
              <w:rPr>
                <w:rFonts w:eastAsia="Calibri" w:cs="Arial"/>
                <w:color w:val="000000"/>
                <w:sz w:val="22"/>
                <w:szCs w:val="24"/>
                <w:u w:val="single"/>
              </w:rPr>
            </w:pPr>
            <w:r w:rsidRPr="00266CDC">
              <w:rPr>
                <w:rFonts w:eastAsia="Calibri" w:cs="Arial"/>
                <w:color w:val="000000"/>
                <w:sz w:val="22"/>
                <w:szCs w:val="24"/>
                <w:u w:val="single"/>
              </w:rPr>
              <w:t>151-200</w:t>
            </w:r>
          </w:p>
        </w:tc>
        <w:tc>
          <w:tcPr>
            <w:tcW w:w="1769" w:type="dxa"/>
            <w:shd w:val="clear" w:color="auto" w:fill="auto"/>
          </w:tcPr>
          <w:p w14:paraId="17ABFD14" w14:textId="77777777" w:rsidR="00C418C2" w:rsidRPr="00266CDC" w:rsidRDefault="00C418C2" w:rsidP="009506EF">
            <w:pPr>
              <w:jc w:val="center"/>
              <w:rPr>
                <w:rFonts w:eastAsia="Calibri" w:cs="Arial"/>
                <w:sz w:val="22"/>
                <w:szCs w:val="24"/>
                <w:u w:val="single"/>
              </w:rPr>
            </w:pPr>
            <w:r>
              <w:rPr>
                <w:rFonts w:eastAsia="Calibri" w:cs="Arial"/>
                <w:sz w:val="22"/>
                <w:szCs w:val="24"/>
                <w:u w:val="single"/>
              </w:rPr>
              <w:t>758.4</w:t>
            </w:r>
          </w:p>
        </w:tc>
        <w:tc>
          <w:tcPr>
            <w:tcW w:w="4050" w:type="dxa"/>
            <w:shd w:val="clear" w:color="auto" w:fill="auto"/>
          </w:tcPr>
          <w:p w14:paraId="3C18AE06" w14:textId="77777777" w:rsidR="00C418C2" w:rsidRPr="00266CDC" w:rsidRDefault="00C418C2" w:rsidP="009506EF">
            <w:pPr>
              <w:jc w:val="center"/>
              <w:rPr>
                <w:rFonts w:eastAsia="Calibri" w:cs="Arial"/>
                <w:sz w:val="22"/>
                <w:szCs w:val="24"/>
                <w:u w:val="single"/>
              </w:rPr>
            </w:pPr>
            <w:r>
              <w:rPr>
                <w:rFonts w:eastAsia="Calibri" w:cs="Arial"/>
                <w:sz w:val="22"/>
                <w:szCs w:val="24"/>
                <w:u w:val="single"/>
              </w:rPr>
              <w:t>758.4</w:t>
            </w:r>
          </w:p>
        </w:tc>
      </w:tr>
      <w:tr w:rsidR="00C418C2" w:rsidRPr="00266CDC" w14:paraId="2D1F7113" w14:textId="77777777" w:rsidTr="009506EF">
        <w:trPr>
          <w:cantSplit/>
          <w:trHeight w:val="1135"/>
          <w:jc w:val="center"/>
        </w:trPr>
        <w:tc>
          <w:tcPr>
            <w:tcW w:w="1376" w:type="dxa"/>
            <w:shd w:val="clear" w:color="auto" w:fill="auto"/>
          </w:tcPr>
          <w:p w14:paraId="34010860" w14:textId="77777777" w:rsidR="00C418C2" w:rsidRPr="00266CDC" w:rsidRDefault="00C418C2" w:rsidP="009506EF">
            <w:pPr>
              <w:jc w:val="center"/>
              <w:rPr>
                <w:rFonts w:eastAsia="Calibri" w:cs="Arial"/>
                <w:color w:val="000000"/>
                <w:sz w:val="22"/>
                <w:szCs w:val="24"/>
                <w:u w:val="single"/>
              </w:rPr>
            </w:pPr>
            <w:r w:rsidRPr="00266CDC">
              <w:rPr>
                <w:rFonts w:eastAsia="Calibri" w:cs="Arial"/>
                <w:color w:val="000000"/>
                <w:sz w:val="22"/>
                <w:szCs w:val="24"/>
                <w:u w:val="single"/>
              </w:rPr>
              <w:t>201 and over</w:t>
            </w:r>
          </w:p>
        </w:tc>
        <w:tc>
          <w:tcPr>
            <w:tcW w:w="1769" w:type="dxa"/>
            <w:shd w:val="clear" w:color="auto" w:fill="auto"/>
          </w:tcPr>
          <w:p w14:paraId="26AB27CA" w14:textId="77777777" w:rsidR="00C418C2" w:rsidRPr="00266CDC" w:rsidRDefault="00C418C2" w:rsidP="009506EF">
            <w:pPr>
              <w:jc w:val="center"/>
              <w:rPr>
                <w:rFonts w:eastAsia="Calibri" w:cs="Arial"/>
                <w:color w:val="000000"/>
                <w:sz w:val="22"/>
                <w:szCs w:val="24"/>
                <w:u w:val="single"/>
              </w:rPr>
            </w:pPr>
            <w:r>
              <w:rPr>
                <w:rFonts w:eastAsia="Calibri" w:cs="Arial"/>
                <w:color w:val="000000"/>
                <w:sz w:val="22"/>
                <w:szCs w:val="24"/>
                <w:u w:val="single"/>
              </w:rPr>
              <w:t>45</w:t>
            </w:r>
            <w:r w:rsidRPr="00266CDC">
              <w:rPr>
                <w:rFonts w:eastAsia="Calibri" w:cs="Arial"/>
                <w:color w:val="000000"/>
                <w:sz w:val="22"/>
                <w:szCs w:val="24"/>
                <w:u w:val="single"/>
              </w:rPr>
              <w:t xml:space="preserve"> percent of actual parking spaces x 6.6</w:t>
            </w:r>
          </w:p>
        </w:tc>
        <w:tc>
          <w:tcPr>
            <w:tcW w:w="4050" w:type="dxa"/>
            <w:shd w:val="clear" w:color="auto" w:fill="auto"/>
          </w:tcPr>
          <w:p w14:paraId="0F222CDA" w14:textId="77777777" w:rsidR="00C418C2" w:rsidRPr="00266CDC" w:rsidRDefault="00C418C2" w:rsidP="009506EF">
            <w:pPr>
              <w:rPr>
                <w:rFonts w:eastAsia="Calibri" w:cs="Arial"/>
                <w:sz w:val="22"/>
                <w:szCs w:val="24"/>
                <w:u w:val="single"/>
              </w:rPr>
            </w:pPr>
            <w:r w:rsidRPr="00266CDC">
              <w:rPr>
                <w:rFonts w:eastAsia="Calibri" w:cs="Arial"/>
                <w:sz w:val="22"/>
                <w:u w:val="single"/>
              </w:rPr>
              <w:t>Total required kVA =P x .</w:t>
            </w:r>
            <w:r>
              <w:rPr>
                <w:rFonts w:eastAsia="Calibri" w:cs="Arial"/>
                <w:sz w:val="22"/>
                <w:u w:val="single"/>
              </w:rPr>
              <w:t>45</w:t>
            </w:r>
            <w:r w:rsidRPr="00266CDC">
              <w:rPr>
                <w:rFonts w:eastAsia="Calibri" w:cs="Arial"/>
                <w:sz w:val="22"/>
                <w:u w:val="single"/>
              </w:rPr>
              <w:t xml:space="preserve"> x 6.6 Where P=Parking spaces in facility</w:t>
            </w:r>
          </w:p>
        </w:tc>
      </w:tr>
    </w:tbl>
    <w:p w14:paraId="2A41C37D" w14:textId="77777777" w:rsidR="00C418C2" w:rsidRPr="00266CDC" w:rsidRDefault="00C418C2" w:rsidP="00C418C2">
      <w:pPr>
        <w:jc w:val="both"/>
        <w:rPr>
          <w:rFonts w:eastAsia="Batang" w:cs="Arial"/>
          <w:color w:val="000000"/>
          <w:szCs w:val="24"/>
          <w:u w:val="single"/>
        </w:rPr>
      </w:pPr>
    </w:p>
    <w:p w14:paraId="3449A482" w14:textId="72497717" w:rsidR="007421A9" w:rsidRPr="00444C61" w:rsidRDefault="007421A9" w:rsidP="00444C61">
      <w:pPr>
        <w:spacing w:line="276" w:lineRule="auto"/>
        <w:ind w:left="1440" w:hanging="360"/>
        <w:rPr>
          <w:rFonts w:eastAsia="Batang" w:cs="Arial"/>
          <w:color w:val="211D1E"/>
          <w:sz w:val="22"/>
          <w:szCs w:val="22"/>
          <w:u w:val="single"/>
        </w:rPr>
      </w:pPr>
      <w:r w:rsidRPr="00444C61">
        <w:rPr>
          <w:rFonts w:eastAsia="Batang" w:cs="Arial"/>
          <w:color w:val="211D1E"/>
          <w:sz w:val="22"/>
          <w:szCs w:val="22"/>
          <w:u w:val="single"/>
        </w:rPr>
        <w:t>1.</w:t>
      </w:r>
      <w:r w:rsidR="00444C61">
        <w:rPr>
          <w:rFonts w:eastAsia="Batang" w:cs="Arial"/>
          <w:color w:val="211D1E"/>
          <w:sz w:val="22"/>
          <w:szCs w:val="22"/>
          <w:u w:val="single"/>
        </w:rPr>
        <w:tab/>
      </w:r>
      <w:r w:rsidRPr="00444C61">
        <w:rPr>
          <w:rFonts w:eastAsia="Batang" w:cs="Arial"/>
          <w:color w:val="211D1E"/>
          <w:sz w:val="22"/>
          <w:szCs w:val="22"/>
          <w:u w:val="single"/>
        </w:rPr>
        <w:t>Level 2 EVSE @ 6.6 kVA minimum.</w:t>
      </w:r>
    </w:p>
    <w:p w14:paraId="0838D045" w14:textId="1EDF6352" w:rsidR="007421A9" w:rsidRPr="00444C61" w:rsidRDefault="007421A9" w:rsidP="00444C61">
      <w:pPr>
        <w:spacing w:line="276" w:lineRule="auto"/>
        <w:ind w:left="1440" w:hanging="360"/>
        <w:rPr>
          <w:rFonts w:eastAsia="Batang" w:cs="Arial"/>
          <w:color w:val="211D1E"/>
          <w:sz w:val="22"/>
          <w:szCs w:val="22"/>
          <w:u w:val="single"/>
        </w:rPr>
      </w:pPr>
      <w:r w:rsidRPr="00444C61">
        <w:rPr>
          <w:rFonts w:eastAsia="Batang" w:cs="Arial"/>
          <w:color w:val="211D1E"/>
          <w:sz w:val="22"/>
          <w:szCs w:val="22"/>
          <w:u w:val="single"/>
        </w:rPr>
        <w:t>2.</w:t>
      </w:r>
      <w:r w:rsidR="00444C61">
        <w:rPr>
          <w:rFonts w:eastAsia="Batang" w:cs="Arial"/>
          <w:color w:val="211D1E"/>
          <w:sz w:val="22"/>
          <w:szCs w:val="22"/>
          <w:u w:val="single"/>
        </w:rPr>
        <w:tab/>
      </w:r>
      <w:r w:rsidRPr="00444C61">
        <w:rPr>
          <w:rFonts w:eastAsia="Batang" w:cs="Arial"/>
          <w:color w:val="211D1E"/>
          <w:sz w:val="22"/>
          <w:szCs w:val="22"/>
          <w:u w:val="single"/>
        </w:rPr>
        <w:t>At least one Level 2 EVSE shall be provided.</w:t>
      </w:r>
    </w:p>
    <w:p w14:paraId="069A8DA9" w14:textId="33311877" w:rsidR="007421A9" w:rsidRPr="00444C61" w:rsidRDefault="007421A9" w:rsidP="00444C61">
      <w:pPr>
        <w:spacing w:line="276" w:lineRule="auto"/>
        <w:ind w:left="1440" w:hanging="360"/>
        <w:rPr>
          <w:rFonts w:eastAsia="Batang" w:cs="Arial"/>
          <w:color w:val="211D1E"/>
          <w:sz w:val="22"/>
          <w:szCs w:val="22"/>
          <w:u w:val="single"/>
        </w:rPr>
      </w:pPr>
      <w:r w:rsidRPr="00444C61">
        <w:rPr>
          <w:rFonts w:eastAsia="Batang" w:cs="Arial"/>
          <w:color w:val="211D1E"/>
          <w:sz w:val="22"/>
          <w:szCs w:val="22"/>
          <w:u w:val="single"/>
        </w:rPr>
        <w:t>3.</w:t>
      </w:r>
      <w:r w:rsidR="00444C61">
        <w:rPr>
          <w:rFonts w:eastAsia="Batang" w:cs="Arial"/>
          <w:color w:val="211D1E"/>
          <w:sz w:val="22"/>
          <w:szCs w:val="22"/>
          <w:u w:val="single"/>
        </w:rPr>
        <w:tab/>
      </w:r>
      <w:r w:rsidRPr="00444C61">
        <w:rPr>
          <w:rFonts w:eastAsia="Batang" w:cs="Arial"/>
          <w:color w:val="211D1E"/>
          <w:sz w:val="22"/>
          <w:szCs w:val="22"/>
          <w:u w:val="single"/>
        </w:rPr>
        <w:t xml:space="preserve">Maximum allowed kVA to be utilized for EV capable spaces is 67 percent. </w:t>
      </w:r>
    </w:p>
    <w:p w14:paraId="72392E69" w14:textId="5A9E38C8" w:rsidR="007421A9" w:rsidRPr="00444C61" w:rsidRDefault="007421A9" w:rsidP="00444C61">
      <w:pPr>
        <w:spacing w:line="276" w:lineRule="auto"/>
        <w:ind w:left="1440" w:hanging="360"/>
        <w:rPr>
          <w:rFonts w:eastAsia="Batang" w:cs="Arial"/>
          <w:color w:val="211D1E"/>
          <w:sz w:val="22"/>
          <w:szCs w:val="22"/>
          <w:u w:val="single"/>
        </w:rPr>
      </w:pPr>
      <w:r w:rsidRPr="00444C61">
        <w:rPr>
          <w:rFonts w:eastAsia="Batang" w:cs="Arial"/>
          <w:color w:val="211D1E"/>
          <w:sz w:val="22"/>
          <w:szCs w:val="22"/>
          <w:u w:val="single"/>
        </w:rPr>
        <w:t>4.</w:t>
      </w:r>
      <w:r w:rsidR="00444C61">
        <w:rPr>
          <w:rFonts w:eastAsia="Batang" w:cs="Arial"/>
          <w:color w:val="211D1E"/>
          <w:sz w:val="22"/>
          <w:szCs w:val="22"/>
          <w:u w:val="single"/>
        </w:rPr>
        <w:tab/>
      </w:r>
      <w:r w:rsidRPr="00444C61">
        <w:rPr>
          <w:rFonts w:eastAsia="Batang" w:cs="Arial"/>
          <w:color w:val="211D1E"/>
          <w:sz w:val="22"/>
          <w:szCs w:val="22"/>
          <w:u w:val="single"/>
        </w:rPr>
        <w:t xml:space="preserve">If EV capable spaces are utilized they shall meet the requirements of Section 5.106.5.3.1 EV capable spaces. </w:t>
      </w:r>
    </w:p>
    <w:p w14:paraId="16B65DD2" w14:textId="77777777" w:rsidR="007421A9" w:rsidRDefault="007421A9" w:rsidP="007421A9">
      <w:pPr>
        <w:rPr>
          <w:b/>
          <w:bCs/>
        </w:rPr>
      </w:pPr>
    </w:p>
    <w:p w14:paraId="6D39F583" w14:textId="1D59E69A" w:rsidR="007421A9" w:rsidRDefault="007421A9" w:rsidP="007421A9">
      <w:pPr>
        <w:rPr>
          <w:rFonts w:cs="Arial"/>
          <w:b/>
          <w:bCs/>
          <w:szCs w:val="24"/>
        </w:rPr>
      </w:pPr>
      <w:r w:rsidRPr="007B155F">
        <w:rPr>
          <w:b/>
          <w:bCs/>
        </w:rPr>
        <w:t>Appendix A</w:t>
      </w:r>
      <w:r>
        <w:rPr>
          <w:b/>
          <w:bCs/>
        </w:rPr>
        <w:t>5</w:t>
      </w:r>
      <w:r w:rsidRPr="007B155F">
        <w:rPr>
          <w:b/>
          <w:bCs/>
        </w:rPr>
        <w:t xml:space="preserve"> </w:t>
      </w:r>
      <w:r>
        <w:rPr>
          <w:b/>
          <w:bCs/>
        </w:rPr>
        <w:t>Nonr</w:t>
      </w:r>
      <w:r w:rsidRPr="007B155F">
        <w:rPr>
          <w:b/>
          <w:bCs/>
        </w:rPr>
        <w:t>esidential Voluntary Measures</w:t>
      </w:r>
      <w:r>
        <w:rPr>
          <w:rFonts w:cs="Arial"/>
          <w:b/>
          <w:bCs/>
          <w:szCs w:val="24"/>
        </w:rPr>
        <w:t>,</w:t>
      </w:r>
      <w:r w:rsidR="00F448ED">
        <w:rPr>
          <w:rFonts w:cs="Arial"/>
          <w:b/>
          <w:bCs/>
          <w:szCs w:val="24"/>
        </w:rPr>
        <w:t xml:space="preserve"> </w:t>
      </w:r>
      <w:r>
        <w:rPr>
          <w:rFonts w:cs="Arial"/>
          <w:b/>
          <w:bCs/>
          <w:szCs w:val="24"/>
        </w:rPr>
        <w:t>Section A5.601, Table A5.601 is amended</w:t>
      </w:r>
      <w:r w:rsidR="00F448ED">
        <w:rPr>
          <w:rFonts w:cs="Arial"/>
          <w:b/>
          <w:bCs/>
          <w:szCs w:val="24"/>
        </w:rPr>
        <w:t xml:space="preserve"> </w:t>
      </w:r>
      <w:r>
        <w:rPr>
          <w:rFonts w:cs="Arial"/>
          <w:b/>
          <w:bCs/>
          <w:szCs w:val="24"/>
        </w:rPr>
        <w:t>as follows:</w:t>
      </w:r>
    </w:p>
    <w:p w14:paraId="638C9394" w14:textId="77777777" w:rsidR="007421A9" w:rsidRDefault="007421A9" w:rsidP="007421A9">
      <w:pPr>
        <w:rPr>
          <w:rFonts w:cs="Arial"/>
          <w:szCs w:val="24"/>
        </w:rPr>
      </w:pPr>
      <w:r w:rsidRPr="00C01C5B">
        <w:rPr>
          <w:rFonts w:cs="Arial"/>
          <w:szCs w:val="24"/>
        </w:rPr>
        <w:t xml:space="preserve">The Tier 1 cell for Electric Vehicle Charging is amended to read as follows: </w:t>
      </w:r>
      <w:r w:rsidRPr="00C01C5B">
        <w:rPr>
          <w:rFonts w:cs="Arial"/>
          <w:strike/>
          <w:szCs w:val="24"/>
        </w:rPr>
        <w:t>Approx. 30% of total spaces</w:t>
      </w:r>
      <w:r w:rsidRPr="00C01C5B">
        <w:rPr>
          <w:rFonts w:cs="Arial"/>
          <w:szCs w:val="24"/>
        </w:rPr>
        <w:t xml:space="preserve"> </w:t>
      </w:r>
      <w:r>
        <w:rPr>
          <w:rFonts w:cs="Arial"/>
          <w:szCs w:val="24"/>
          <w:u w:val="single"/>
        </w:rPr>
        <w:t>M</w:t>
      </w:r>
      <w:r w:rsidRPr="00C01C5B">
        <w:rPr>
          <w:rFonts w:cs="Arial"/>
          <w:szCs w:val="24"/>
          <w:u w:val="single"/>
        </w:rPr>
        <w:t>eet provisions of Section A5.106.</w:t>
      </w:r>
      <w:r>
        <w:rPr>
          <w:rFonts w:cs="Arial"/>
          <w:szCs w:val="24"/>
          <w:u w:val="single"/>
        </w:rPr>
        <w:t>5.3</w:t>
      </w:r>
      <w:r w:rsidRPr="00C01C5B">
        <w:rPr>
          <w:rFonts w:cs="Arial"/>
          <w:szCs w:val="24"/>
        </w:rPr>
        <w:t>.</w:t>
      </w:r>
    </w:p>
    <w:p w14:paraId="15E982DE" w14:textId="77777777" w:rsidR="009210A4" w:rsidRDefault="009210A4" w:rsidP="007421A9">
      <w:pPr>
        <w:sectPr w:rsidR="009210A4" w:rsidSect="00EB3FAD">
          <w:headerReference w:type="default" r:id="rId30"/>
          <w:pgSz w:w="12240" w:h="15840"/>
          <w:pgMar w:top="1440" w:right="1440" w:bottom="1440" w:left="1440" w:header="0" w:footer="1017" w:gutter="0"/>
          <w:cols w:space="720"/>
          <w:docGrid w:linePitch="326"/>
        </w:sectPr>
      </w:pPr>
    </w:p>
    <w:p w14:paraId="643B9C39" w14:textId="725AFF25" w:rsidR="006229BB" w:rsidRPr="009210A4" w:rsidRDefault="006229BB" w:rsidP="00DE073E">
      <w:pPr>
        <w:pStyle w:val="Heading1"/>
        <w:ind w:left="0" w:firstLine="0"/>
      </w:pPr>
      <w:r>
        <w:t>OTHER ORDINANCE SECTIONS</w:t>
      </w:r>
    </w:p>
    <w:p w14:paraId="28C08C75" w14:textId="3F2E09D2" w:rsidR="00355298" w:rsidRPr="00FA78B0" w:rsidRDefault="00355298" w:rsidP="00355298">
      <w:pPr>
        <w:rPr>
          <w:rFonts w:eastAsiaTheme="minorEastAsia" w:cstheme="minorHAnsi"/>
        </w:rPr>
      </w:pPr>
      <w:r w:rsidRPr="00FA78B0">
        <w:rPr>
          <w:rFonts w:eastAsiaTheme="minorEastAsia" w:cstheme="minorHAnsi"/>
        </w:rPr>
        <w:t xml:space="preserve">Section 2: CEQA </w:t>
      </w:r>
    </w:p>
    <w:p w14:paraId="7DD93CC4" w14:textId="77777777" w:rsidR="00355298" w:rsidRPr="00FA78B0" w:rsidRDefault="00355298" w:rsidP="00355298">
      <w:pPr>
        <w:rPr>
          <w:rFonts w:eastAsiaTheme="minorEastAsia" w:cstheme="minorHAnsi"/>
        </w:rPr>
      </w:pPr>
      <w:r w:rsidRPr="00FA78B0">
        <w:rPr>
          <w:rFonts w:eastAsiaTheme="minorEastAsia" w:cstheme="minorHAnsi"/>
        </w:rPr>
        <w:t xml:space="preserve">This ordinance is exempt from CEQA under 15061(b)(3) on the grounds that these standards are more stringent than the State energy standards, there are no reasonably foreseeable adverse impacts and there is no possibility that the activity in question may have a significant effect on the environment. </w:t>
      </w:r>
    </w:p>
    <w:p w14:paraId="11FD2A5C" w14:textId="77777777" w:rsidR="00355298" w:rsidRDefault="00355298" w:rsidP="00355298">
      <w:pPr>
        <w:rPr>
          <w:rFonts w:eastAsiaTheme="minorEastAsia" w:cstheme="minorHAnsi"/>
        </w:rPr>
      </w:pPr>
    </w:p>
    <w:p w14:paraId="384EC857" w14:textId="77777777" w:rsidR="00355298" w:rsidRPr="00FA78B0" w:rsidRDefault="00355298" w:rsidP="00355298">
      <w:pPr>
        <w:rPr>
          <w:rFonts w:eastAsiaTheme="minorEastAsia" w:cstheme="minorHAnsi"/>
        </w:rPr>
      </w:pPr>
      <w:r w:rsidRPr="00FA78B0">
        <w:rPr>
          <w:rFonts w:eastAsiaTheme="minorEastAsia" w:cstheme="minorHAnsi"/>
        </w:rPr>
        <w:t xml:space="preserve">Section 3: Severability </w:t>
      </w:r>
    </w:p>
    <w:p w14:paraId="41687EEF" w14:textId="4EBE773A" w:rsidR="00355298" w:rsidRPr="00FA78B0" w:rsidRDefault="00355298" w:rsidP="00355298">
      <w:pPr>
        <w:rPr>
          <w:rFonts w:eastAsiaTheme="minorEastAsia" w:cstheme="minorHAnsi"/>
        </w:rPr>
      </w:pPr>
      <w:r w:rsidRPr="00FA78B0">
        <w:rPr>
          <w:rFonts w:eastAsiaTheme="minorEastAsia" w:cstheme="minorHAnsi"/>
        </w:rPr>
        <w:t>If any word, phrase sentence part, section, subsection or other portion of this amendment or any application thereof to any person or circumstance is declared void, unconstitutional, or invalid for any reason, then such word, phrase, sentence, part, section, subsection, or other portion, or the prescribed application thereof, shall be severable, and the remaining provisions of this amendment, and all applications thereof, not having been declared void, unconstitutional or invalid, shall remain in full force and effect.</w:t>
      </w:r>
      <w:r w:rsidR="00F448ED">
        <w:rPr>
          <w:rFonts w:eastAsiaTheme="minorEastAsia" w:cstheme="minorHAnsi"/>
        </w:rPr>
        <w:t xml:space="preserve"> </w:t>
      </w:r>
      <w:r w:rsidRPr="00FA78B0">
        <w:rPr>
          <w:rFonts w:eastAsiaTheme="minorEastAsia" w:cstheme="minorHAnsi"/>
        </w:rPr>
        <w:t xml:space="preserve">The </w:t>
      </w:r>
      <w:r w:rsidRPr="00FA78B0">
        <w:rPr>
          <w:rFonts w:eastAsiaTheme="minorEastAsia" w:cstheme="minorHAnsi"/>
          <w:i/>
          <w:iCs/>
          <w:color w:val="4F81BD" w:themeColor="accent1"/>
        </w:rPr>
        <w:t>[name of governing body]</w:t>
      </w:r>
      <w:r w:rsidRPr="00FA78B0">
        <w:rPr>
          <w:rFonts w:eastAsiaTheme="minorEastAsia" w:cstheme="minorHAnsi"/>
        </w:rPr>
        <w:t xml:space="preserve"> hereby declares that it would have passed this amendment and each section, subsection sentence, clause and phrase of this amendment, irrespective of the fact that any one or more sections, subsection, sentences, clauses or phrases is declared invalid. </w:t>
      </w:r>
    </w:p>
    <w:p w14:paraId="60DA5BAF" w14:textId="77777777" w:rsidR="00355298" w:rsidRDefault="00355298" w:rsidP="00355298">
      <w:pPr>
        <w:rPr>
          <w:rFonts w:eastAsiaTheme="minorEastAsia" w:cstheme="minorHAnsi"/>
        </w:rPr>
      </w:pPr>
    </w:p>
    <w:p w14:paraId="33FC1FA4" w14:textId="77777777" w:rsidR="00355298" w:rsidRPr="00FA78B0" w:rsidRDefault="00355298" w:rsidP="00355298">
      <w:pPr>
        <w:rPr>
          <w:rFonts w:eastAsiaTheme="minorEastAsia" w:cstheme="minorHAnsi"/>
        </w:rPr>
      </w:pPr>
      <w:r w:rsidRPr="00FA78B0">
        <w:rPr>
          <w:rFonts w:eastAsiaTheme="minorEastAsia" w:cstheme="minorHAnsi"/>
        </w:rPr>
        <w:t xml:space="preserve">Section 4: Violations </w:t>
      </w:r>
    </w:p>
    <w:p w14:paraId="6A56B2F6" w14:textId="77777777" w:rsidR="00355298" w:rsidRPr="00FA78B0" w:rsidRDefault="00355298" w:rsidP="00355298">
      <w:pPr>
        <w:rPr>
          <w:rFonts w:eastAsiaTheme="minorEastAsia" w:cstheme="minorHAnsi"/>
        </w:rPr>
      </w:pPr>
      <w:r w:rsidRPr="00FA78B0">
        <w:rPr>
          <w:rFonts w:eastAsiaTheme="minorEastAsia" w:cstheme="minorHAnsi"/>
        </w:rPr>
        <w:t xml:space="preserve">Violation of the requirements of this Chapter shall be considered an infraction of the </w:t>
      </w:r>
      <w:r w:rsidRPr="00FA78B0">
        <w:rPr>
          <w:rFonts w:eastAsiaTheme="minorEastAsia" w:cstheme="minorHAnsi"/>
          <w:i/>
          <w:iCs/>
          <w:color w:val="4F81BD" w:themeColor="accent1"/>
        </w:rPr>
        <w:t>[jurisdiction Municipal/County Code]</w:t>
      </w:r>
      <w:r w:rsidRPr="00FA78B0">
        <w:rPr>
          <w:rFonts w:eastAsiaTheme="minorEastAsia" w:cstheme="minorHAnsi"/>
        </w:rPr>
        <w:t xml:space="preserve">, punishable by all the sanctions prescribed in </w:t>
      </w:r>
      <w:r w:rsidRPr="00FA78B0">
        <w:rPr>
          <w:rFonts w:eastAsiaTheme="minorEastAsia" w:cstheme="minorHAnsi"/>
          <w:i/>
          <w:iCs/>
          <w:color w:val="4F81BD" w:themeColor="accent1"/>
        </w:rPr>
        <w:t>[cite local reference to infractions]</w:t>
      </w:r>
      <w:r w:rsidRPr="00FA78B0">
        <w:rPr>
          <w:rFonts w:eastAsiaTheme="minorEastAsia" w:cstheme="minorHAnsi"/>
        </w:rPr>
        <w:t xml:space="preserve">. </w:t>
      </w:r>
    </w:p>
    <w:p w14:paraId="1B1C8626" w14:textId="77777777" w:rsidR="00355298" w:rsidRDefault="00355298" w:rsidP="00355298">
      <w:pPr>
        <w:rPr>
          <w:rFonts w:eastAsiaTheme="minorEastAsia" w:cstheme="minorHAnsi"/>
        </w:rPr>
      </w:pPr>
    </w:p>
    <w:p w14:paraId="3053202B" w14:textId="05955300" w:rsidR="00355298" w:rsidRPr="00FA78B0" w:rsidRDefault="00355298" w:rsidP="00355298">
      <w:pPr>
        <w:rPr>
          <w:rStyle w:val="Instructions"/>
          <w:rFonts w:eastAsiaTheme="minorEastAsia" w:cstheme="minorHAnsi"/>
        </w:rPr>
      </w:pPr>
      <w:r w:rsidRPr="00FA78B0">
        <w:rPr>
          <w:rFonts w:eastAsiaTheme="minorEastAsia" w:cstheme="minorHAnsi"/>
        </w:rPr>
        <w:t>Section 5: Effective Date</w:t>
      </w:r>
    </w:p>
    <w:p w14:paraId="0005EC97" w14:textId="5D3D374D" w:rsidR="00355298" w:rsidRPr="00FA78B0" w:rsidRDefault="00355298" w:rsidP="00355298">
      <w:pPr>
        <w:rPr>
          <w:rFonts w:eastAsiaTheme="minorEastAsia" w:cstheme="minorHAnsi"/>
          <w:color w:val="000000" w:themeColor="text1"/>
        </w:rPr>
      </w:pPr>
      <w:r w:rsidRPr="00FA78B0">
        <w:rPr>
          <w:rFonts w:eastAsiaTheme="minorEastAsia" w:cstheme="minorHAnsi"/>
          <w:color w:val="000000" w:themeColor="text1"/>
        </w:rPr>
        <w:t xml:space="preserve">This ordinance shall become effective as of </w:t>
      </w:r>
      <w:r w:rsidRPr="00FA78B0">
        <w:rPr>
          <w:rFonts w:eastAsiaTheme="minorEastAsia" w:cstheme="minorHAnsi"/>
          <w:b/>
          <w:bCs/>
          <w:i/>
          <w:iCs/>
          <w:color w:val="4471C4"/>
        </w:rPr>
        <w:t>[DATE]</w:t>
      </w:r>
      <w:r w:rsidRPr="00FA78B0">
        <w:rPr>
          <w:rFonts w:eastAsiaTheme="minorEastAsia" w:cstheme="minorHAnsi"/>
          <w:color w:val="000000" w:themeColor="text1"/>
        </w:rPr>
        <w:t xml:space="preserve">, or upon the date </w:t>
      </w:r>
      <w:r w:rsidR="00F448ED">
        <w:rPr>
          <w:rFonts w:eastAsiaTheme="minorEastAsia" w:cstheme="minorHAnsi"/>
          <w:color w:val="000000" w:themeColor="text1"/>
        </w:rPr>
        <w:t xml:space="preserve">filed with </w:t>
      </w:r>
      <w:r w:rsidRPr="00FA78B0">
        <w:rPr>
          <w:rFonts w:eastAsiaTheme="minorEastAsia" w:cstheme="minorHAnsi"/>
          <w:color w:val="000000" w:themeColor="text1"/>
        </w:rPr>
        <w:t>the California Building Standards Commission (CBSC), whichever is later.</w:t>
      </w:r>
    </w:p>
    <w:p w14:paraId="5C7402A2" w14:textId="34A4A3ED" w:rsidR="00826ED9" w:rsidRPr="006D3413" w:rsidRDefault="00826ED9" w:rsidP="6BAA8BC3">
      <w:pPr>
        <w:spacing w:after="240"/>
        <w:rPr>
          <w:b/>
          <w:bCs/>
        </w:rPr>
      </w:pPr>
    </w:p>
    <w:sectPr w:rsidR="00826ED9" w:rsidRPr="006D3413" w:rsidSect="00EB3FAD">
      <w:headerReference w:type="default" r:id="rId31"/>
      <w:pgSz w:w="12240" w:h="15840"/>
      <w:pgMar w:top="1440" w:right="1440" w:bottom="1440" w:left="1440" w:header="0" w:footer="101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6404B" w14:textId="77777777" w:rsidR="00EB3FAD" w:rsidRDefault="00EB3FAD">
      <w:r>
        <w:separator/>
      </w:r>
    </w:p>
  </w:endnote>
  <w:endnote w:type="continuationSeparator" w:id="0">
    <w:p w14:paraId="348AEC74" w14:textId="77777777" w:rsidR="00EB3FAD" w:rsidRDefault="00EB3FAD">
      <w:r>
        <w:continuationSeparator/>
      </w:r>
    </w:p>
  </w:endnote>
  <w:endnote w:type="continuationNotice" w:id="1">
    <w:p w14:paraId="53F20FE0" w14:textId="77777777" w:rsidR="00EB3FAD" w:rsidRDefault="00EB3F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ヒラギノ角ゴ Pro W3">
    <w:altName w:val="Heiti TC Light"/>
    <w:charset w:val="80"/>
    <w:family w:val="auto"/>
    <w:pitch w:val="variable"/>
    <w:sig w:usb0="E00002FF" w:usb1="7AC7FFFF" w:usb2="00000012" w:usb3="00000000" w:csb0="0002000D" w:csb1="00000000"/>
  </w:font>
  <w:font w:name="Arial Bold">
    <w:altName w:val="Arial"/>
    <w:panose1 w:val="00000000000000000000"/>
    <w:charset w:val="00"/>
    <w:family w:val="roman"/>
    <w:notTrueType/>
    <w:pitch w:val="default"/>
  </w:font>
  <w:font w:name="Nunito">
    <w:altName w:val="Calibri"/>
    <w:charset w:val="00"/>
    <w:family w:val="auto"/>
    <w:pitch w:val="variable"/>
    <w:sig w:usb0="A00002FF" w:usb1="5000204B" w:usb2="00000000" w:usb3="00000000" w:csb0="00000197" w:csb1="00000000"/>
  </w:font>
  <w:font w:name="Batang">
    <w:altName w:val="바탕"/>
    <w:panose1 w:val="02030600000101010101"/>
    <w:charset w:val="81"/>
    <w:family w:val="auto"/>
    <w:pitch w:val="fixed"/>
    <w:sig w:usb0="00000001" w:usb1="09060000" w:usb2="00000010" w:usb3="00000000" w:csb0="00080000" w:csb1="00000000"/>
  </w:font>
  <w:font w:name="TimesNewRoman--Identity-H">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24595" w14:textId="1B8EF411" w:rsidR="00D433C2" w:rsidRDefault="00D433C2" w:rsidP="009506E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7E827869" w14:textId="77777777" w:rsidR="00D433C2" w:rsidRDefault="00D433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AC09A" w14:textId="77777777" w:rsidR="00D65C88" w:rsidRPr="00D91045" w:rsidRDefault="00D65C88">
    <w:pPr>
      <w:pStyle w:val="Footer"/>
      <w:jc w:val="center"/>
      <w:rPr>
        <w:rStyle w:val="PageNumbe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99285832"/>
      <w:docPartObj>
        <w:docPartGallery w:val="Page Numbers (Bottom of Page)"/>
        <w:docPartUnique/>
      </w:docPartObj>
    </w:sdtPr>
    <w:sdtEndPr>
      <w:rPr>
        <w:rStyle w:val="PageNumber"/>
        <w:sz w:val="20"/>
      </w:rPr>
    </w:sdtEndPr>
    <w:sdtContent>
      <w:p w14:paraId="3CDFE9C6" w14:textId="069A5A9C" w:rsidR="00D433C2" w:rsidRPr="006E73EC" w:rsidRDefault="00D433C2" w:rsidP="009506EF">
        <w:pPr>
          <w:pStyle w:val="Footer"/>
          <w:framePr w:wrap="none" w:vAnchor="text" w:hAnchor="margin" w:xAlign="center" w:y="1"/>
          <w:rPr>
            <w:rStyle w:val="PageNumber"/>
            <w:sz w:val="20"/>
          </w:rPr>
        </w:pPr>
        <w:r w:rsidRPr="006E73EC">
          <w:rPr>
            <w:rStyle w:val="PageNumber"/>
            <w:sz w:val="20"/>
          </w:rPr>
          <w:fldChar w:fldCharType="begin"/>
        </w:r>
        <w:r w:rsidRPr="006E73EC">
          <w:rPr>
            <w:rStyle w:val="PageNumber"/>
            <w:sz w:val="20"/>
          </w:rPr>
          <w:instrText xml:space="preserve"> PAGE </w:instrText>
        </w:r>
        <w:r w:rsidRPr="006E73EC">
          <w:rPr>
            <w:rStyle w:val="PageNumber"/>
            <w:sz w:val="20"/>
          </w:rPr>
          <w:fldChar w:fldCharType="separate"/>
        </w:r>
        <w:r w:rsidRPr="006E73EC">
          <w:rPr>
            <w:rStyle w:val="PageNumber"/>
            <w:noProof/>
            <w:sz w:val="20"/>
          </w:rPr>
          <w:t>31</w:t>
        </w:r>
        <w:r w:rsidRPr="006E73EC">
          <w:rPr>
            <w:rStyle w:val="PageNumber"/>
            <w:sz w:val="20"/>
          </w:rPr>
          <w:fldChar w:fldCharType="end"/>
        </w:r>
      </w:p>
    </w:sdtContent>
  </w:sdt>
  <w:p w14:paraId="04D6C58F" w14:textId="12B6229C" w:rsidR="001E4175" w:rsidRPr="006E73EC" w:rsidRDefault="001E4175">
    <w:pPr>
      <w:spacing w:line="200" w:lineRule="exact"/>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2664410"/>
      <w:docPartObj>
        <w:docPartGallery w:val="Page Numbers (Bottom of Page)"/>
        <w:docPartUnique/>
      </w:docPartObj>
    </w:sdtPr>
    <w:sdtEndPr>
      <w:rPr>
        <w:noProof/>
        <w:sz w:val="20"/>
      </w:rPr>
    </w:sdtEndPr>
    <w:sdtContent>
      <w:p w14:paraId="2EC22E4C" w14:textId="2AFF4801" w:rsidR="00A23F9F" w:rsidRPr="00896886" w:rsidRDefault="00A23F9F">
        <w:pPr>
          <w:pStyle w:val="Footer"/>
          <w:jc w:val="center"/>
          <w:rPr>
            <w:sz w:val="20"/>
          </w:rPr>
        </w:pPr>
        <w:r w:rsidRPr="00896886">
          <w:rPr>
            <w:sz w:val="20"/>
          </w:rPr>
          <w:fldChar w:fldCharType="begin"/>
        </w:r>
        <w:r w:rsidRPr="00896886">
          <w:rPr>
            <w:sz w:val="20"/>
          </w:rPr>
          <w:instrText xml:space="preserve"> PAGE   \* MERGEFORMAT </w:instrText>
        </w:r>
        <w:r w:rsidRPr="00896886">
          <w:rPr>
            <w:sz w:val="20"/>
          </w:rPr>
          <w:fldChar w:fldCharType="separate"/>
        </w:r>
        <w:r w:rsidRPr="00896886">
          <w:rPr>
            <w:noProof/>
            <w:sz w:val="20"/>
          </w:rPr>
          <w:t>2</w:t>
        </w:r>
        <w:r w:rsidRPr="00896886">
          <w:rPr>
            <w:noProof/>
            <w:sz w:val="20"/>
          </w:rPr>
          <w:fldChar w:fldCharType="end"/>
        </w:r>
      </w:p>
    </w:sdtContent>
  </w:sdt>
  <w:p w14:paraId="5B6C85E8" w14:textId="5AC410B7" w:rsidR="00D0469F" w:rsidRPr="00F46F2F" w:rsidRDefault="00D0469F">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41023" w14:textId="77777777" w:rsidR="00EB3FAD" w:rsidRDefault="00EB3FAD">
      <w:r>
        <w:separator/>
      </w:r>
    </w:p>
  </w:footnote>
  <w:footnote w:type="continuationSeparator" w:id="0">
    <w:p w14:paraId="14388B2C" w14:textId="77777777" w:rsidR="00EB3FAD" w:rsidRDefault="00EB3FAD">
      <w:r>
        <w:continuationSeparator/>
      </w:r>
    </w:p>
  </w:footnote>
  <w:footnote w:type="continuationNotice" w:id="1">
    <w:p w14:paraId="21698C80" w14:textId="77777777" w:rsidR="00EB3FAD" w:rsidRDefault="00EB3FAD"/>
  </w:footnote>
  <w:footnote w:id="2">
    <w:p w14:paraId="649860AD" w14:textId="75AF55BF" w:rsidR="008969FA" w:rsidRDefault="008969FA">
      <w:pPr>
        <w:pStyle w:val="FootnoteText"/>
      </w:pPr>
      <w:r w:rsidRPr="00237D49">
        <w:rPr>
          <w:rStyle w:val="FootnoteReference"/>
          <w:color w:val="00B0F0"/>
        </w:rPr>
        <w:footnoteRef/>
      </w:r>
      <w:r w:rsidRPr="00237D49">
        <w:rPr>
          <w:color w:val="00B0F0"/>
        </w:rPr>
        <w:t xml:space="preserve"> </w:t>
      </w:r>
      <w:r w:rsidRPr="00905939">
        <w:rPr>
          <w:rStyle w:val="Instructions"/>
          <w:sz w:val="20"/>
        </w:rPr>
        <w:t xml:space="preserve">Text from the proposed intervening cycle language is omitted here since it </w:t>
      </w:r>
      <w:r w:rsidR="00237D49" w:rsidRPr="00905939">
        <w:rPr>
          <w:rStyle w:val="Instructions"/>
          <w:sz w:val="20"/>
        </w:rPr>
        <w:t>quantifies</w:t>
      </w:r>
      <w:r w:rsidRPr="00905939">
        <w:rPr>
          <w:rStyle w:val="Instructions"/>
          <w:sz w:val="20"/>
        </w:rPr>
        <w:t xml:space="preserve"> the mandatory requirements, which</w:t>
      </w:r>
      <w:r w:rsidR="00237D49" w:rsidRPr="00905939">
        <w:rPr>
          <w:rStyle w:val="Instructions"/>
          <w:sz w:val="20"/>
        </w:rPr>
        <w:t xml:space="preserve"> are not applicable and potentially confusing to the reader.</w:t>
      </w:r>
      <w:r w:rsidRPr="00237D49">
        <w:rPr>
          <w:color w:val="00B0F0"/>
        </w:rPr>
        <w:t xml:space="preserve"> </w:t>
      </w:r>
    </w:p>
  </w:footnote>
  <w:footnote w:id="3">
    <w:p w14:paraId="151AE225" w14:textId="77777777" w:rsidR="007F47C2" w:rsidRDefault="007F47C2" w:rsidP="007F47C2">
      <w:pPr>
        <w:pStyle w:val="FootnoteText"/>
      </w:pPr>
      <w:r>
        <w:rPr>
          <w:rStyle w:val="FootnoteReference"/>
        </w:rPr>
        <w:footnoteRef/>
      </w:r>
      <w:r>
        <w:t xml:space="preserve"> </w:t>
      </w:r>
      <w:r w:rsidRPr="00905939">
        <w:rPr>
          <w:rStyle w:val="Instructions"/>
          <w:sz w:val="20"/>
        </w:rPr>
        <w:t>This text is not in the proposed intervening cycle language.</w:t>
      </w:r>
    </w:p>
  </w:footnote>
  <w:footnote w:id="4">
    <w:p w14:paraId="34B53FC5" w14:textId="141735AB" w:rsidR="003B5062" w:rsidRDefault="003B5062">
      <w:pPr>
        <w:pStyle w:val="FootnoteText"/>
      </w:pPr>
      <w:r>
        <w:rPr>
          <w:rStyle w:val="FootnoteReference"/>
        </w:rPr>
        <w:footnoteRef/>
      </w:r>
      <w:r>
        <w:t xml:space="preserve"> </w:t>
      </w:r>
      <w:hyperlink r:id="rId1" w:history="1">
        <w:r w:rsidRPr="003B5062">
          <w:rPr>
            <w:rStyle w:val="Hyperlink"/>
          </w:rPr>
          <w:t>Marin County</w:t>
        </w:r>
      </w:hyperlink>
      <w:r>
        <w:t xml:space="preserve"> and the </w:t>
      </w:r>
      <w:hyperlink r:id="rId2" w:history="1">
        <w:r w:rsidRPr="003B5062">
          <w:rPr>
            <w:rStyle w:val="Hyperlink"/>
          </w:rPr>
          <w:t>Town of Fairfax</w:t>
        </w:r>
      </w:hyperlink>
      <w:r>
        <w:t xml:space="preserve"> have extended requirements to include modifications to parking lot surfaces. </w:t>
      </w:r>
    </w:p>
  </w:footnote>
  <w:footnote w:id="5">
    <w:p w14:paraId="54A4192C" w14:textId="100C3B2D" w:rsidR="001D14ED" w:rsidRPr="001D14ED" w:rsidRDefault="001D14ED">
      <w:pPr>
        <w:pStyle w:val="FootnoteText"/>
        <w:rPr>
          <w:rFonts w:asciiTheme="minorHAnsi" w:hAnsiTheme="minorHAnsi" w:cstheme="minorHAnsi"/>
        </w:rPr>
      </w:pPr>
      <w:r w:rsidRPr="001D14ED">
        <w:rPr>
          <w:rStyle w:val="FootnoteReference"/>
          <w:rFonts w:asciiTheme="minorHAnsi" w:hAnsiTheme="minorHAnsi" w:cstheme="minorHAnsi"/>
          <w:color w:val="00B0F0"/>
        </w:rPr>
        <w:footnoteRef/>
      </w:r>
      <w:r w:rsidRPr="001D14ED">
        <w:rPr>
          <w:rFonts w:asciiTheme="minorHAnsi" w:hAnsiTheme="minorHAnsi" w:cstheme="minorHAnsi"/>
          <w:color w:val="00B0F0"/>
        </w:rPr>
        <w:t xml:space="preserve"> This section is organized slightly differently than the intervening cycle.</w:t>
      </w:r>
    </w:p>
  </w:footnote>
  <w:footnote w:id="6">
    <w:p w14:paraId="21AA3E74" w14:textId="1E6C0E8A" w:rsidR="008969FA" w:rsidRDefault="008969FA">
      <w:pPr>
        <w:pStyle w:val="FootnoteText"/>
      </w:pPr>
      <w:r w:rsidRPr="00237D49">
        <w:rPr>
          <w:rStyle w:val="FootnoteReference"/>
          <w:color w:val="00B0F0"/>
        </w:rPr>
        <w:footnoteRef/>
      </w:r>
      <w:r w:rsidRPr="00237D49">
        <w:rPr>
          <w:color w:val="00B0F0"/>
        </w:rPr>
        <w:t xml:space="preserve"> </w:t>
      </w:r>
      <w:r w:rsidR="00071B82">
        <w:rPr>
          <w:rFonts w:asciiTheme="minorHAnsi" w:hAnsiTheme="minorHAnsi" w:cstheme="minorHAnsi"/>
          <w:color w:val="00B0F0"/>
        </w:rPr>
        <w:t>T</w:t>
      </w:r>
      <w:r w:rsidRPr="00237D49">
        <w:rPr>
          <w:rFonts w:asciiTheme="minorHAnsi" w:hAnsiTheme="minorHAnsi" w:cstheme="minorHAnsi"/>
          <w:color w:val="00B0F0"/>
        </w:rPr>
        <w:t>his text was modified slightly from the text in the</w:t>
      </w:r>
      <w:r w:rsidR="00237D49" w:rsidRPr="00237D49">
        <w:rPr>
          <w:rFonts w:asciiTheme="minorHAnsi" w:hAnsiTheme="minorHAnsi" w:cstheme="minorHAnsi"/>
          <w:color w:val="00B0F0"/>
        </w:rPr>
        <w:t xml:space="preserve"> intervening cycle</w:t>
      </w:r>
      <w:r w:rsidRPr="00237D49">
        <w:rPr>
          <w:rFonts w:asciiTheme="minorHAnsi" w:hAnsiTheme="minorHAnsi" w:cstheme="minorHAnsi"/>
          <w:color w:val="00B0F0"/>
        </w:rPr>
        <w:t xml:space="preserve"> to </w:t>
      </w:r>
      <w:r w:rsidR="00071B82">
        <w:rPr>
          <w:rFonts w:asciiTheme="minorHAnsi" w:hAnsiTheme="minorHAnsi" w:cstheme="minorHAnsi"/>
          <w:color w:val="00B0F0"/>
        </w:rPr>
        <w:t xml:space="preserve">provide </w:t>
      </w:r>
      <w:r w:rsidRPr="00237D49">
        <w:rPr>
          <w:rFonts w:asciiTheme="minorHAnsi" w:hAnsiTheme="minorHAnsi" w:cstheme="minorHAnsi"/>
          <w:color w:val="00B0F0"/>
        </w:rPr>
        <w:t>clarity.</w:t>
      </w:r>
    </w:p>
  </w:footnote>
  <w:footnote w:id="7">
    <w:p w14:paraId="6318AC3F" w14:textId="6FB174D3" w:rsidR="003B5062" w:rsidRDefault="003B5062">
      <w:pPr>
        <w:pStyle w:val="FootnoteText"/>
      </w:pPr>
      <w:r>
        <w:rPr>
          <w:rStyle w:val="FootnoteReference"/>
        </w:rPr>
        <w:footnoteRef/>
      </w:r>
      <w:r>
        <w:t xml:space="preserve"> </w:t>
      </w:r>
      <w:hyperlink r:id="rId3" w:history="1">
        <w:r w:rsidRPr="003B5062">
          <w:rPr>
            <w:rStyle w:val="Hyperlink"/>
          </w:rPr>
          <w:t>Marin County</w:t>
        </w:r>
      </w:hyperlink>
      <w:r>
        <w:t xml:space="preserve"> and the </w:t>
      </w:r>
      <w:hyperlink r:id="rId4" w:history="1">
        <w:r w:rsidRPr="003B5062">
          <w:rPr>
            <w:rStyle w:val="Hyperlink"/>
          </w:rPr>
          <w:t>Town of Fairfax</w:t>
        </w:r>
      </w:hyperlink>
      <w:r>
        <w:t xml:space="preserve"> have extended requirements to include modifications to parking lot surfaces.</w:t>
      </w:r>
    </w:p>
  </w:footnote>
  <w:footnote w:id="8">
    <w:p w14:paraId="230691AC" w14:textId="685AF82E" w:rsidR="007421A9" w:rsidRDefault="007421A9" w:rsidP="007421A9">
      <w:pPr>
        <w:pStyle w:val="FootnoteText"/>
      </w:pPr>
      <w:r w:rsidRPr="00237D49">
        <w:rPr>
          <w:rStyle w:val="FootnoteReference"/>
          <w:color w:val="00B0F0"/>
        </w:rPr>
        <w:footnoteRef/>
      </w:r>
      <w:r w:rsidRPr="00237D49">
        <w:rPr>
          <w:color w:val="00B0F0"/>
        </w:rPr>
        <w:t xml:space="preserve"> </w:t>
      </w:r>
      <w:r w:rsidRPr="00905939">
        <w:rPr>
          <w:rStyle w:val="Instructions"/>
          <w:sz w:val="20"/>
        </w:rPr>
        <w:t>Text from the intervening cycle language is omitted here since it quantifies the mandatory requirements, which are not applicable and potentially confusing to the reader.</w:t>
      </w:r>
      <w:r w:rsidRPr="00237D49">
        <w:rPr>
          <w:color w:val="00B0F0"/>
        </w:rPr>
        <w:t xml:space="preserve"> </w:t>
      </w:r>
    </w:p>
  </w:footnote>
  <w:footnote w:id="9">
    <w:p w14:paraId="184F1C73" w14:textId="77777777" w:rsidR="000C1174" w:rsidRDefault="000C1174" w:rsidP="000C1174">
      <w:pPr>
        <w:pStyle w:val="FootnoteText"/>
      </w:pPr>
      <w:r>
        <w:rPr>
          <w:rStyle w:val="FootnoteReference"/>
        </w:rPr>
        <w:footnoteRef/>
      </w:r>
      <w:r>
        <w:t xml:space="preserve"> </w:t>
      </w:r>
      <w:r w:rsidRPr="00905939">
        <w:rPr>
          <w:rStyle w:val="Instructions"/>
          <w:sz w:val="20"/>
        </w:rPr>
        <w:t>This text is not in the proposed intervening cycle language.</w:t>
      </w:r>
    </w:p>
  </w:footnote>
  <w:footnote w:id="10">
    <w:p w14:paraId="4E0F4575" w14:textId="0998E3AC" w:rsidR="007421A9" w:rsidRPr="001D14ED" w:rsidRDefault="007421A9" w:rsidP="007421A9">
      <w:pPr>
        <w:pStyle w:val="FootnoteText"/>
        <w:rPr>
          <w:rFonts w:asciiTheme="minorHAnsi" w:hAnsiTheme="minorHAnsi" w:cstheme="minorHAnsi"/>
        </w:rPr>
      </w:pPr>
      <w:r w:rsidRPr="001D14ED">
        <w:rPr>
          <w:rStyle w:val="FootnoteReference"/>
          <w:rFonts w:asciiTheme="minorHAnsi" w:hAnsiTheme="minorHAnsi" w:cstheme="minorHAnsi"/>
          <w:color w:val="00B0F0"/>
        </w:rPr>
        <w:footnoteRef/>
      </w:r>
      <w:r w:rsidRPr="001D14ED">
        <w:rPr>
          <w:rFonts w:asciiTheme="minorHAnsi" w:hAnsiTheme="minorHAnsi" w:cstheme="minorHAnsi"/>
          <w:color w:val="00B0F0"/>
        </w:rPr>
        <w:t xml:space="preserve"> This section is organized slightly differently than the intervening cycle.</w:t>
      </w:r>
    </w:p>
  </w:footnote>
  <w:footnote w:id="11">
    <w:p w14:paraId="3AE86867" w14:textId="411C2A94" w:rsidR="007421A9" w:rsidRDefault="007421A9" w:rsidP="007421A9">
      <w:pPr>
        <w:pStyle w:val="FootnoteText"/>
      </w:pPr>
      <w:r w:rsidRPr="00237D49">
        <w:rPr>
          <w:rStyle w:val="FootnoteReference"/>
          <w:color w:val="00B0F0"/>
        </w:rPr>
        <w:footnoteRef/>
      </w:r>
      <w:r w:rsidRPr="00237D49">
        <w:rPr>
          <w:color w:val="00B0F0"/>
        </w:rPr>
        <w:t xml:space="preserve"> </w:t>
      </w:r>
      <w:r>
        <w:rPr>
          <w:rFonts w:asciiTheme="minorHAnsi" w:hAnsiTheme="minorHAnsi" w:cstheme="minorHAnsi"/>
          <w:color w:val="00B0F0"/>
        </w:rPr>
        <w:t>T</w:t>
      </w:r>
      <w:r w:rsidRPr="00237D49">
        <w:rPr>
          <w:rFonts w:asciiTheme="minorHAnsi" w:hAnsiTheme="minorHAnsi" w:cstheme="minorHAnsi"/>
          <w:color w:val="00B0F0"/>
        </w:rPr>
        <w:t xml:space="preserve">his text was modified slightly from the text in the intervening cycle to </w:t>
      </w:r>
      <w:r>
        <w:rPr>
          <w:rFonts w:asciiTheme="minorHAnsi" w:hAnsiTheme="minorHAnsi" w:cstheme="minorHAnsi"/>
          <w:color w:val="00B0F0"/>
        </w:rPr>
        <w:t xml:space="preserve">provide </w:t>
      </w:r>
      <w:r w:rsidRPr="00237D49">
        <w:rPr>
          <w:rFonts w:asciiTheme="minorHAnsi" w:hAnsiTheme="minorHAnsi" w:cstheme="minorHAnsi"/>
          <w:color w:val="00B0F0"/>
        </w:rPr>
        <w:t>clarity.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D65C88" w14:paraId="34306B61" w14:textId="77777777">
      <w:tc>
        <w:tcPr>
          <w:tcW w:w="3120" w:type="dxa"/>
        </w:tcPr>
        <w:p w14:paraId="7FD25044" w14:textId="77777777" w:rsidR="00D65C88" w:rsidRDefault="00D65C88">
          <w:pPr>
            <w:pStyle w:val="Header"/>
            <w:ind w:left="-115"/>
          </w:pPr>
        </w:p>
      </w:tc>
      <w:tc>
        <w:tcPr>
          <w:tcW w:w="3120" w:type="dxa"/>
        </w:tcPr>
        <w:p w14:paraId="425E39A3" w14:textId="77777777" w:rsidR="00D65C88" w:rsidRDefault="00D65C88">
          <w:pPr>
            <w:pStyle w:val="Header"/>
            <w:jc w:val="center"/>
          </w:pPr>
        </w:p>
      </w:tc>
      <w:tc>
        <w:tcPr>
          <w:tcW w:w="3120" w:type="dxa"/>
        </w:tcPr>
        <w:p w14:paraId="33D602A6" w14:textId="77777777" w:rsidR="00D65C88" w:rsidRDefault="00D65C88">
          <w:pPr>
            <w:pStyle w:val="Header"/>
            <w:ind w:right="-115"/>
            <w:jc w:val="right"/>
          </w:pPr>
        </w:p>
      </w:tc>
    </w:tr>
  </w:tbl>
  <w:p w14:paraId="4094303F" w14:textId="199DFC56" w:rsidR="00D65C88" w:rsidRDefault="00D65C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C1336" w14:textId="66B9D620" w:rsidR="00D65C88" w:rsidRDefault="00CC4C13">
    <w:pPr>
      <w:pStyle w:val="Header"/>
    </w:pPr>
    <w:r>
      <w:rPr>
        <w:noProof/>
      </w:rPr>
      <w:pict w14:anchorId="0D43F2C6">
        <v:shapetype id="_x0000_t202" coordsize="21600,21600" o:spt="202" path="m,l,21600r21600,l21600,xe">
          <v:stroke joinstyle="miter"/>
          <v:path gradientshapeok="t" o:connecttype="rect"/>
        </v:shapetype>
        <v:shape id="Text Box 3" o:spid="_x0000_s1026" type="#_x0000_t202" style="position:absolute;margin-left:0;margin-top:0;width:494.9pt;height:164.95pt;rotation:315;z-index:-251658240;visibility:visible;mso-wrap-edited:f;mso-position-horizontal:center;mso-position-horizontal-relative:margin;mso-position-vertical:center;mso-position-vertical-relative:margin" o:allowincell="f" filled="f" stroked="f">
          <o:lock v:ext="edit" aspectratio="t" verticies="t" shapetype="t"/>
          <v:textbox>
            <w:txbxContent>
              <w:p w14:paraId="55899C9F" w14:textId="77777777" w:rsidR="00AA62CD" w:rsidRDefault="00AA62CD"/>
            </w:txbxContent>
          </v:textbox>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A379B" w14:textId="06D412BC" w:rsidR="00AA45DF" w:rsidRDefault="00AA45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4C829" w14:textId="10DF643B" w:rsidR="00B82CC7" w:rsidRDefault="00B82CC7" w:rsidP="00FE6BE9">
    <w:pPr>
      <w:pStyle w:val="Header"/>
      <w:rPr>
        <w:sz w:val="16"/>
        <w:szCs w:val="16"/>
      </w:rPr>
    </w:pPr>
    <w:r>
      <w:ptab w:relativeTo="margin" w:alignment="center" w:leader="none"/>
    </w:r>
    <w:r>
      <w:ptab w:relativeTo="margin" w:alignment="right" w:leader="none"/>
    </w:r>
  </w:p>
  <w:p w14:paraId="0000FDFA" w14:textId="560F9A72" w:rsidR="00B82CC7" w:rsidRDefault="00B82CC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AB8CB" w14:textId="5CE636E0" w:rsidR="00AA45DF" w:rsidRDefault="00AA45D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131CE" w14:textId="77777777" w:rsidR="008F7D5F" w:rsidRDefault="008F7D5F" w:rsidP="00FE6BE9">
    <w:pPr>
      <w:pStyle w:val="Header"/>
    </w:pPr>
  </w:p>
  <w:p w14:paraId="6276D0A9" w14:textId="77777777" w:rsidR="008F7D5F" w:rsidRDefault="008F7D5F">
    <w:pPr>
      <w:pStyle w:val="Header"/>
    </w:pPr>
  </w:p>
  <w:p w14:paraId="3D3B781E" w14:textId="76EDD52A" w:rsidR="00DE073E" w:rsidRPr="006B5940" w:rsidRDefault="00DE073E" w:rsidP="00DE073E">
    <w:pPr>
      <w:pStyle w:val="Header"/>
      <w:jc w:val="right"/>
      <w:rPr>
        <w:b/>
        <w:bCs/>
        <w:sz w:val="32"/>
        <w:szCs w:val="32"/>
        <w:u w:val="single"/>
      </w:rPr>
    </w:pPr>
    <w:r w:rsidRPr="006B5940">
      <w:rPr>
        <w:b/>
        <w:bCs/>
        <w:sz w:val="32"/>
        <w:szCs w:val="32"/>
        <w:u w:val="single"/>
      </w:rPr>
      <w:t>Tier 1 Amendments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18648" w14:textId="77777777" w:rsidR="001C333F" w:rsidRDefault="001C333F" w:rsidP="001C333F">
    <w:pPr>
      <w:pStyle w:val="Header"/>
      <w:jc w:val="right"/>
      <w:rPr>
        <w:b/>
        <w:bCs/>
        <w:sz w:val="32"/>
        <w:szCs w:val="22"/>
      </w:rPr>
    </w:pPr>
  </w:p>
  <w:p w14:paraId="5B9EEC83" w14:textId="77777777" w:rsidR="001C333F" w:rsidRDefault="001C333F" w:rsidP="001C333F">
    <w:pPr>
      <w:pStyle w:val="Header"/>
      <w:jc w:val="right"/>
      <w:rPr>
        <w:b/>
        <w:bCs/>
        <w:sz w:val="32"/>
        <w:szCs w:val="22"/>
      </w:rPr>
    </w:pPr>
  </w:p>
  <w:p w14:paraId="141F345D" w14:textId="1F495718" w:rsidR="001C333F" w:rsidRPr="001C333F" w:rsidRDefault="00CC4C13" w:rsidP="001C333F">
    <w:pPr>
      <w:pStyle w:val="Header"/>
      <w:jc w:val="right"/>
      <w:rPr>
        <w:b/>
        <w:bCs/>
      </w:rPr>
    </w:pPr>
    <w:r>
      <w:rPr>
        <w:noProof/>
      </w:rPr>
      <w:pict w14:anchorId="0C2896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494.9pt;height:164.95pt;rotation:315;z-index:-251658239;mso-wrap-edited:f;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1C333F" w:rsidRPr="001C333F">
      <w:rPr>
        <w:b/>
        <w:bCs/>
        <w:sz w:val="32"/>
        <w:szCs w:val="22"/>
      </w:rPr>
      <w:t>Tier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50DD3" w14:textId="77777777" w:rsidR="00924234" w:rsidRDefault="00924234">
    <w:pPr>
      <w:pStyle w:val="Header"/>
    </w:pPr>
  </w:p>
  <w:p w14:paraId="359EC8DA" w14:textId="77777777" w:rsidR="00DE073E" w:rsidRDefault="00DE073E">
    <w:pPr>
      <w:pStyle w:val="Header"/>
    </w:pPr>
  </w:p>
  <w:p w14:paraId="44E843A0" w14:textId="43D8CDCF" w:rsidR="00DE073E" w:rsidRPr="006B5940" w:rsidRDefault="00DE073E" w:rsidP="00DE073E">
    <w:pPr>
      <w:pStyle w:val="Header"/>
      <w:jc w:val="right"/>
      <w:rPr>
        <w:b/>
        <w:bCs/>
        <w:sz w:val="32"/>
        <w:szCs w:val="32"/>
        <w:u w:val="single"/>
      </w:rPr>
    </w:pPr>
    <w:r w:rsidRPr="006B5940">
      <w:rPr>
        <w:b/>
        <w:bCs/>
        <w:sz w:val="32"/>
        <w:szCs w:val="32"/>
        <w:u w:val="single"/>
      </w:rPr>
      <w:t>Tier 2 Amendments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4F00B" w14:textId="77777777" w:rsidR="00DE073E" w:rsidRDefault="00DE073E" w:rsidP="00FE6BE9">
    <w:pPr>
      <w:pStyle w:val="Header"/>
    </w:pPr>
  </w:p>
  <w:p w14:paraId="35799443" w14:textId="0A5E3FA0" w:rsidR="00DE073E" w:rsidRDefault="00DE073E" w:rsidP="008F7D5F">
    <w:pPr>
      <w:pStyle w:val="Header"/>
      <w:rPr>
        <w:sz w:val="16"/>
        <w:szCs w:val="16"/>
      </w:rPr>
    </w:pPr>
    <w:r>
      <w:ptab w:relativeTo="margin" w:alignment="center" w:leader="none"/>
    </w:r>
    <w:r>
      <w:ptab w:relativeTo="margin" w:alignment="right" w:leader="none"/>
    </w:r>
  </w:p>
  <w:p w14:paraId="1439A603" w14:textId="77777777" w:rsidR="00DE073E" w:rsidRDefault="00DE07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C3CCF7C"/>
    <w:name w:val="WW8Num2"/>
    <w:lvl w:ilvl="0">
      <w:start w:val="1"/>
      <w:numFmt w:val="lowerLetter"/>
      <w:lvlText w:val="(%1)"/>
      <w:lvlJc w:val="left"/>
      <w:pPr>
        <w:ind w:left="1080" w:hanging="360"/>
      </w:pPr>
      <w:rPr>
        <w:rFonts w:hint="default"/>
        <w:b w:val="0"/>
      </w:rPr>
    </w:lvl>
    <w:lvl w:ilvl="1">
      <w:start w:val="1"/>
      <w:numFmt w:val="bullet"/>
      <w:lvlText w:val="o"/>
      <w:lvlJc w:val="left"/>
      <w:pPr>
        <w:tabs>
          <w:tab w:val="num" w:pos="720"/>
        </w:tabs>
        <w:ind w:left="1800" w:hanging="360"/>
      </w:pPr>
      <w:rPr>
        <w:rFonts w:ascii="Courier New" w:hAnsi="Courier New" w:cs="Courier New"/>
      </w:rPr>
    </w:lvl>
    <w:lvl w:ilvl="2">
      <w:start w:val="1"/>
      <w:numFmt w:val="bullet"/>
      <w:lvlText w:val=""/>
      <w:lvlJc w:val="left"/>
      <w:pPr>
        <w:tabs>
          <w:tab w:val="num" w:pos="720"/>
        </w:tabs>
        <w:ind w:left="2520" w:hanging="360"/>
      </w:pPr>
      <w:rPr>
        <w:rFonts w:ascii="Wingdings" w:hAnsi="Wingdings" w:cs="Wingdings"/>
      </w:rPr>
    </w:lvl>
    <w:lvl w:ilvl="3">
      <w:start w:val="1"/>
      <w:numFmt w:val="bullet"/>
      <w:lvlText w:val=""/>
      <w:lvlJc w:val="left"/>
      <w:pPr>
        <w:tabs>
          <w:tab w:val="num" w:pos="720"/>
        </w:tabs>
        <w:ind w:left="3240" w:hanging="360"/>
      </w:pPr>
      <w:rPr>
        <w:rFonts w:ascii="Symbol" w:hAnsi="Symbol" w:cs="Symbol"/>
      </w:rPr>
    </w:lvl>
    <w:lvl w:ilvl="4">
      <w:start w:val="1"/>
      <w:numFmt w:val="bullet"/>
      <w:lvlText w:val="o"/>
      <w:lvlJc w:val="left"/>
      <w:pPr>
        <w:tabs>
          <w:tab w:val="num" w:pos="720"/>
        </w:tabs>
        <w:ind w:left="3960" w:hanging="360"/>
      </w:pPr>
      <w:rPr>
        <w:rFonts w:ascii="Courier New" w:hAnsi="Courier New" w:cs="Courier New"/>
      </w:rPr>
    </w:lvl>
    <w:lvl w:ilvl="5">
      <w:start w:val="1"/>
      <w:numFmt w:val="bullet"/>
      <w:lvlText w:val=""/>
      <w:lvlJc w:val="left"/>
      <w:pPr>
        <w:tabs>
          <w:tab w:val="num" w:pos="720"/>
        </w:tabs>
        <w:ind w:left="4680" w:hanging="360"/>
      </w:pPr>
      <w:rPr>
        <w:rFonts w:ascii="Wingdings" w:hAnsi="Wingdings" w:cs="Wingdings"/>
      </w:rPr>
    </w:lvl>
    <w:lvl w:ilvl="6">
      <w:start w:val="1"/>
      <w:numFmt w:val="bullet"/>
      <w:lvlText w:val=""/>
      <w:lvlJc w:val="left"/>
      <w:pPr>
        <w:tabs>
          <w:tab w:val="num" w:pos="720"/>
        </w:tabs>
        <w:ind w:left="5400" w:hanging="360"/>
      </w:pPr>
      <w:rPr>
        <w:rFonts w:ascii="Symbol" w:hAnsi="Symbol" w:cs="Symbol"/>
      </w:rPr>
    </w:lvl>
    <w:lvl w:ilvl="7">
      <w:start w:val="1"/>
      <w:numFmt w:val="bullet"/>
      <w:lvlText w:val="o"/>
      <w:lvlJc w:val="left"/>
      <w:pPr>
        <w:tabs>
          <w:tab w:val="num" w:pos="720"/>
        </w:tabs>
        <w:ind w:left="6120" w:hanging="360"/>
      </w:pPr>
      <w:rPr>
        <w:rFonts w:ascii="Courier New" w:hAnsi="Courier New" w:cs="Courier New"/>
      </w:rPr>
    </w:lvl>
    <w:lvl w:ilvl="8">
      <w:start w:val="1"/>
      <w:numFmt w:val="bullet"/>
      <w:lvlText w:val=""/>
      <w:lvlJc w:val="left"/>
      <w:pPr>
        <w:tabs>
          <w:tab w:val="num" w:pos="720"/>
        </w:tabs>
        <w:ind w:left="684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lowerLetter"/>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3" w15:restartNumberingAfterBreak="0">
    <w:nsid w:val="12B02374"/>
    <w:multiLevelType w:val="hybridMultilevel"/>
    <w:tmpl w:val="6C72F222"/>
    <w:lvl w:ilvl="0" w:tplc="ACD01DE4">
      <w:start w:val="1"/>
      <w:numFmt w:val="decimal"/>
      <w:lvlText w:val="%1."/>
      <w:lvlJc w:val="left"/>
      <w:pPr>
        <w:ind w:left="1080" w:hanging="720"/>
      </w:pPr>
      <w:rPr>
        <w:rFonts w:hint="default"/>
        <w:u w:val="single"/>
      </w:rPr>
    </w:lvl>
    <w:lvl w:ilvl="1" w:tplc="CE88D24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4E3CA2"/>
    <w:multiLevelType w:val="hybridMultilevel"/>
    <w:tmpl w:val="8F38FA6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4500465"/>
    <w:multiLevelType w:val="hybridMultilevel"/>
    <w:tmpl w:val="8F38FA6A"/>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6" w15:restartNumberingAfterBreak="0">
    <w:nsid w:val="165A20C1"/>
    <w:multiLevelType w:val="multilevel"/>
    <w:tmpl w:val="6700D706"/>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7" w15:restartNumberingAfterBreak="0">
    <w:nsid w:val="1ABA79CB"/>
    <w:multiLevelType w:val="hybridMultilevel"/>
    <w:tmpl w:val="22FA5B4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4416A"/>
    <w:multiLevelType w:val="multilevel"/>
    <w:tmpl w:val="D74ADE0C"/>
    <w:styleLink w:val="BulletTextList"/>
    <w:lvl w:ilvl="0">
      <w:start w:val="1"/>
      <w:numFmt w:val="bullet"/>
      <w:pStyle w:val="BulletText1"/>
      <w:lvlText w:val="·"/>
      <w:lvlJc w:val="left"/>
      <w:pPr>
        <w:tabs>
          <w:tab w:val="num" w:pos="173"/>
        </w:tabs>
        <w:ind w:left="173" w:hanging="173"/>
      </w:pPr>
      <w:rPr>
        <w:rFonts w:ascii="Symbol" w:hAnsi="Symbol" w:hint="default"/>
        <w:sz w:val="24"/>
      </w:rPr>
    </w:lvl>
    <w:lvl w:ilvl="1">
      <w:start w:val="1"/>
      <w:numFmt w:val="bullet"/>
      <w:pStyle w:val="BulletText2"/>
      <w:lvlText w:val="-"/>
      <w:lvlJc w:val="left"/>
      <w:pPr>
        <w:tabs>
          <w:tab w:val="num" w:pos="346"/>
        </w:tabs>
        <w:ind w:left="346" w:hanging="173"/>
      </w:pPr>
      <w:rPr>
        <w:rFonts w:ascii="Symbol" w:hAnsi="Symbol" w:hint="default"/>
        <w:sz w:val="24"/>
      </w:rPr>
    </w:lvl>
    <w:lvl w:ilvl="2">
      <w:start w:val="1"/>
      <w:numFmt w:val="bullet"/>
      <w:pStyle w:val="BulletText3"/>
      <w:lvlText w:val="§"/>
      <w:lvlJc w:val="left"/>
      <w:pPr>
        <w:tabs>
          <w:tab w:val="num" w:pos="519"/>
        </w:tabs>
        <w:ind w:left="519" w:hanging="173"/>
      </w:pPr>
      <w:rPr>
        <w:rFonts w:ascii="Wingdings" w:hAnsi="Wingdings" w:hint="default"/>
        <w:sz w:val="24"/>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25FA1EB0"/>
    <w:multiLevelType w:val="hybridMultilevel"/>
    <w:tmpl w:val="5A70CF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59E89CF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865E0"/>
    <w:multiLevelType w:val="hybridMultilevel"/>
    <w:tmpl w:val="B45CCFEE"/>
    <w:lvl w:ilvl="0" w:tplc="A7862AA2">
      <w:start w:val="1"/>
      <w:numFmt w:val="decimal"/>
      <w:lvlText w:val="%1."/>
      <w:lvlJc w:val="left"/>
      <w:pPr>
        <w:ind w:left="1170" w:hanging="360"/>
      </w:pPr>
      <w:rPr>
        <w:b w:val="0"/>
        <w:bCs w:val="0"/>
        <w:strike/>
        <w:u w:val="none"/>
      </w:rPr>
    </w:lvl>
    <w:lvl w:ilvl="1" w:tplc="CF72CBCE">
      <w:start w:val="1"/>
      <w:numFmt w:val="lowerLetter"/>
      <w:lvlText w:val="%2."/>
      <w:lvlJc w:val="left"/>
      <w:pPr>
        <w:ind w:left="1800" w:hanging="360"/>
      </w:pPr>
      <w:rPr>
        <w:b w:val="0"/>
        <w:bCs w:val="0"/>
        <w:strike w:val="0"/>
        <w:u w:val="single"/>
      </w:rPr>
    </w:lvl>
    <w:lvl w:ilvl="2" w:tplc="60865878">
      <w:start w:val="1"/>
      <w:numFmt w:val="decimal"/>
      <w:lvlText w:val="%3."/>
      <w:lvlJc w:val="left"/>
      <w:pPr>
        <w:ind w:left="2520" w:hanging="180"/>
      </w:pPr>
      <w:rPr>
        <w:u w:val="single"/>
      </w:r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8AF721D"/>
    <w:multiLevelType w:val="hybridMultilevel"/>
    <w:tmpl w:val="13340928"/>
    <w:lvl w:ilvl="0" w:tplc="04090001">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54078A"/>
    <w:multiLevelType w:val="hybridMultilevel"/>
    <w:tmpl w:val="D826B80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30142A42"/>
    <w:multiLevelType w:val="hybridMultilevel"/>
    <w:tmpl w:val="6C72F222"/>
    <w:lvl w:ilvl="0" w:tplc="FFFFFFFF">
      <w:start w:val="1"/>
      <w:numFmt w:val="decimal"/>
      <w:lvlText w:val="%1."/>
      <w:lvlJc w:val="left"/>
      <w:pPr>
        <w:ind w:left="1080" w:hanging="720"/>
      </w:pPr>
      <w:rPr>
        <w:rFonts w:hint="default"/>
        <w:u w:val="single"/>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226232D"/>
    <w:multiLevelType w:val="multilevel"/>
    <w:tmpl w:val="1EAAB8B6"/>
    <w:lvl w:ilvl="0">
      <w:start w:val="1"/>
      <w:numFmt w:val="decimal"/>
      <w:lvlText w:val="%1."/>
      <w:lvlJc w:val="left"/>
      <w:pPr>
        <w:tabs>
          <w:tab w:val="num" w:pos="720"/>
        </w:tabs>
        <w:ind w:left="720" w:hanging="360"/>
      </w:pPr>
      <w:rPr>
        <w:b w:val="0"/>
        <w:bCs w:val="0"/>
      </w:rPr>
    </w:lvl>
    <w:lvl w:ilvl="1">
      <w:start w:val="106"/>
      <w:numFmt w:val="decimal"/>
      <w:isLgl/>
      <w:lvlText w:val="%1.%2"/>
      <w:lvlJc w:val="left"/>
      <w:pPr>
        <w:ind w:left="1500" w:hanging="1140"/>
      </w:pPr>
      <w:rPr>
        <w:rFonts w:hint="default"/>
      </w:rPr>
    </w:lvl>
    <w:lvl w:ilvl="2">
      <w:start w:val="5"/>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5"/>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9D6998"/>
    <w:multiLevelType w:val="hybridMultilevel"/>
    <w:tmpl w:val="76005604"/>
    <w:lvl w:ilvl="0" w:tplc="7AFEF70C">
      <w:start w:val="1"/>
      <w:numFmt w:val="decimal"/>
      <w:lvlText w:val="%1."/>
      <w:lvlJc w:val="left"/>
      <w:pPr>
        <w:ind w:left="14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1B1D6F"/>
    <w:multiLevelType w:val="hybridMultilevel"/>
    <w:tmpl w:val="8848B5D0"/>
    <w:lvl w:ilvl="0" w:tplc="FFFFFFFF">
      <w:start w:val="1"/>
      <w:numFmt w:val="decimal"/>
      <w:lvlText w:val="%1."/>
      <w:lvlJc w:val="left"/>
      <w:pPr>
        <w:ind w:left="1446" w:hanging="360"/>
      </w:pPr>
      <w:rPr>
        <w:u w:val="single"/>
      </w:rPr>
    </w:lvl>
    <w:lvl w:ilvl="1" w:tplc="FFFFFFFF" w:tentative="1">
      <w:start w:val="1"/>
      <w:numFmt w:val="lowerLetter"/>
      <w:lvlText w:val="%2."/>
      <w:lvlJc w:val="left"/>
      <w:pPr>
        <w:ind w:left="2166" w:hanging="360"/>
      </w:pPr>
    </w:lvl>
    <w:lvl w:ilvl="2" w:tplc="FFFFFFFF" w:tentative="1">
      <w:start w:val="1"/>
      <w:numFmt w:val="lowerRoman"/>
      <w:lvlText w:val="%3."/>
      <w:lvlJc w:val="right"/>
      <w:pPr>
        <w:ind w:left="2886" w:hanging="180"/>
      </w:pPr>
    </w:lvl>
    <w:lvl w:ilvl="3" w:tplc="FFFFFFFF" w:tentative="1">
      <w:start w:val="1"/>
      <w:numFmt w:val="decimal"/>
      <w:lvlText w:val="%4."/>
      <w:lvlJc w:val="left"/>
      <w:pPr>
        <w:ind w:left="3606" w:hanging="360"/>
      </w:pPr>
    </w:lvl>
    <w:lvl w:ilvl="4" w:tplc="FFFFFFFF" w:tentative="1">
      <w:start w:val="1"/>
      <w:numFmt w:val="lowerLetter"/>
      <w:lvlText w:val="%5."/>
      <w:lvlJc w:val="left"/>
      <w:pPr>
        <w:ind w:left="4326" w:hanging="360"/>
      </w:pPr>
    </w:lvl>
    <w:lvl w:ilvl="5" w:tplc="FFFFFFFF" w:tentative="1">
      <w:start w:val="1"/>
      <w:numFmt w:val="lowerRoman"/>
      <w:lvlText w:val="%6."/>
      <w:lvlJc w:val="right"/>
      <w:pPr>
        <w:ind w:left="5046" w:hanging="180"/>
      </w:pPr>
    </w:lvl>
    <w:lvl w:ilvl="6" w:tplc="FFFFFFFF" w:tentative="1">
      <w:start w:val="1"/>
      <w:numFmt w:val="decimal"/>
      <w:lvlText w:val="%7."/>
      <w:lvlJc w:val="left"/>
      <w:pPr>
        <w:ind w:left="5766" w:hanging="360"/>
      </w:pPr>
    </w:lvl>
    <w:lvl w:ilvl="7" w:tplc="FFFFFFFF" w:tentative="1">
      <w:start w:val="1"/>
      <w:numFmt w:val="lowerLetter"/>
      <w:lvlText w:val="%8."/>
      <w:lvlJc w:val="left"/>
      <w:pPr>
        <w:ind w:left="6486" w:hanging="360"/>
      </w:pPr>
    </w:lvl>
    <w:lvl w:ilvl="8" w:tplc="FFFFFFFF" w:tentative="1">
      <w:start w:val="1"/>
      <w:numFmt w:val="lowerRoman"/>
      <w:lvlText w:val="%9."/>
      <w:lvlJc w:val="right"/>
      <w:pPr>
        <w:ind w:left="7206" w:hanging="180"/>
      </w:pPr>
    </w:lvl>
  </w:abstractNum>
  <w:abstractNum w:abstractNumId="17" w15:restartNumberingAfterBreak="0">
    <w:nsid w:val="3F351A0F"/>
    <w:multiLevelType w:val="hybridMultilevel"/>
    <w:tmpl w:val="8848B5D0"/>
    <w:lvl w:ilvl="0" w:tplc="FFFFFFFF">
      <w:start w:val="1"/>
      <w:numFmt w:val="decimal"/>
      <w:lvlText w:val="%1."/>
      <w:lvlJc w:val="left"/>
      <w:pPr>
        <w:ind w:left="1446" w:hanging="360"/>
      </w:pPr>
      <w:rPr>
        <w:u w:val="single"/>
      </w:rPr>
    </w:lvl>
    <w:lvl w:ilvl="1" w:tplc="FFFFFFFF" w:tentative="1">
      <w:start w:val="1"/>
      <w:numFmt w:val="lowerLetter"/>
      <w:lvlText w:val="%2."/>
      <w:lvlJc w:val="left"/>
      <w:pPr>
        <w:ind w:left="2166" w:hanging="360"/>
      </w:pPr>
    </w:lvl>
    <w:lvl w:ilvl="2" w:tplc="FFFFFFFF" w:tentative="1">
      <w:start w:val="1"/>
      <w:numFmt w:val="lowerRoman"/>
      <w:lvlText w:val="%3."/>
      <w:lvlJc w:val="right"/>
      <w:pPr>
        <w:ind w:left="2886" w:hanging="180"/>
      </w:pPr>
    </w:lvl>
    <w:lvl w:ilvl="3" w:tplc="FFFFFFFF" w:tentative="1">
      <w:start w:val="1"/>
      <w:numFmt w:val="decimal"/>
      <w:lvlText w:val="%4."/>
      <w:lvlJc w:val="left"/>
      <w:pPr>
        <w:ind w:left="3606" w:hanging="360"/>
      </w:pPr>
    </w:lvl>
    <w:lvl w:ilvl="4" w:tplc="FFFFFFFF" w:tentative="1">
      <w:start w:val="1"/>
      <w:numFmt w:val="lowerLetter"/>
      <w:lvlText w:val="%5."/>
      <w:lvlJc w:val="left"/>
      <w:pPr>
        <w:ind w:left="4326" w:hanging="360"/>
      </w:pPr>
    </w:lvl>
    <w:lvl w:ilvl="5" w:tplc="FFFFFFFF" w:tentative="1">
      <w:start w:val="1"/>
      <w:numFmt w:val="lowerRoman"/>
      <w:lvlText w:val="%6."/>
      <w:lvlJc w:val="right"/>
      <w:pPr>
        <w:ind w:left="5046" w:hanging="180"/>
      </w:pPr>
    </w:lvl>
    <w:lvl w:ilvl="6" w:tplc="FFFFFFFF" w:tentative="1">
      <w:start w:val="1"/>
      <w:numFmt w:val="decimal"/>
      <w:lvlText w:val="%7."/>
      <w:lvlJc w:val="left"/>
      <w:pPr>
        <w:ind w:left="5766" w:hanging="360"/>
      </w:pPr>
    </w:lvl>
    <w:lvl w:ilvl="7" w:tplc="FFFFFFFF" w:tentative="1">
      <w:start w:val="1"/>
      <w:numFmt w:val="lowerLetter"/>
      <w:lvlText w:val="%8."/>
      <w:lvlJc w:val="left"/>
      <w:pPr>
        <w:ind w:left="6486" w:hanging="360"/>
      </w:pPr>
    </w:lvl>
    <w:lvl w:ilvl="8" w:tplc="FFFFFFFF" w:tentative="1">
      <w:start w:val="1"/>
      <w:numFmt w:val="lowerRoman"/>
      <w:lvlText w:val="%9."/>
      <w:lvlJc w:val="right"/>
      <w:pPr>
        <w:ind w:left="7206" w:hanging="180"/>
      </w:pPr>
    </w:lvl>
  </w:abstractNum>
  <w:abstractNum w:abstractNumId="18" w15:restartNumberingAfterBreak="0">
    <w:nsid w:val="47042544"/>
    <w:multiLevelType w:val="multilevel"/>
    <w:tmpl w:val="93721BD4"/>
    <w:lvl w:ilvl="0">
      <w:start w:val="1"/>
      <w:numFmt w:val="decimal"/>
      <w:lvlText w:val="%1."/>
      <w:lvlJc w:val="left"/>
      <w:pPr>
        <w:ind w:left="241" w:hanging="242"/>
      </w:pPr>
      <w:rPr>
        <w:rFonts w:asciiTheme="minorHAnsi" w:hAnsiTheme="minorHAnsi" w:cstheme="minorHAnsi" w:hint="default"/>
        <w:b w:val="0"/>
        <w:bCs w:val="0"/>
        <w:i w:val="0"/>
        <w:iCs w:val="0"/>
        <w:color w:val="231F20"/>
        <w:w w:val="99"/>
        <w:sz w:val="24"/>
        <w:szCs w:val="24"/>
      </w:rPr>
    </w:lvl>
    <w:lvl w:ilvl="1">
      <w:start w:val="1"/>
      <w:numFmt w:val="decimal"/>
      <w:lvlText w:val="%2."/>
      <w:lvlJc w:val="left"/>
      <w:pPr>
        <w:ind w:left="600" w:hanging="360"/>
      </w:pPr>
      <w:rPr>
        <w:rFonts w:hint="default"/>
        <w:u w:val="none"/>
      </w:rPr>
    </w:lvl>
    <w:lvl w:ilvl="2">
      <w:start w:val="1"/>
      <w:numFmt w:val="decimal"/>
      <w:lvlText w:val="%3."/>
      <w:lvlJc w:val="left"/>
      <w:pPr>
        <w:ind w:left="1039" w:hanging="360"/>
      </w:pPr>
      <w:rPr>
        <w:rFonts w:hint="default"/>
        <w:u w:val="none"/>
      </w:rPr>
    </w:lvl>
    <w:lvl w:ilvl="3">
      <w:numFmt w:val="bullet"/>
      <w:lvlText w:val="•"/>
      <w:lvlJc w:val="left"/>
      <w:pPr>
        <w:ind w:left="1361" w:hanging="241"/>
      </w:pPr>
    </w:lvl>
    <w:lvl w:ilvl="4">
      <w:numFmt w:val="bullet"/>
      <w:lvlText w:val="•"/>
      <w:lvlJc w:val="left"/>
      <w:pPr>
        <w:ind w:left="1802" w:hanging="241"/>
      </w:pPr>
    </w:lvl>
    <w:lvl w:ilvl="5">
      <w:numFmt w:val="bullet"/>
      <w:lvlText w:val="•"/>
      <w:lvlJc w:val="left"/>
      <w:pPr>
        <w:ind w:left="2243" w:hanging="241"/>
      </w:pPr>
    </w:lvl>
    <w:lvl w:ilvl="6">
      <w:numFmt w:val="bullet"/>
      <w:lvlText w:val="•"/>
      <w:lvlJc w:val="left"/>
      <w:pPr>
        <w:ind w:left="2684" w:hanging="241"/>
      </w:pPr>
    </w:lvl>
    <w:lvl w:ilvl="7">
      <w:numFmt w:val="bullet"/>
      <w:lvlText w:val="•"/>
      <w:lvlJc w:val="left"/>
      <w:pPr>
        <w:ind w:left="3124" w:hanging="241"/>
      </w:pPr>
    </w:lvl>
    <w:lvl w:ilvl="8">
      <w:numFmt w:val="bullet"/>
      <w:lvlText w:val="•"/>
      <w:lvlJc w:val="left"/>
      <w:pPr>
        <w:ind w:left="3565" w:hanging="241"/>
      </w:pPr>
    </w:lvl>
  </w:abstractNum>
  <w:abstractNum w:abstractNumId="19" w15:restartNumberingAfterBreak="0">
    <w:nsid w:val="510745CA"/>
    <w:multiLevelType w:val="hybridMultilevel"/>
    <w:tmpl w:val="3E4A028A"/>
    <w:lvl w:ilvl="0" w:tplc="ABC2AA7E">
      <w:start w:val="1"/>
      <w:numFmt w:val="lowerLetter"/>
      <w:lvlText w:val="%1."/>
      <w:lvlJc w:val="left"/>
      <w:pPr>
        <w:ind w:left="1800" w:hanging="360"/>
      </w:pPr>
      <w:rPr>
        <w:rFonts w:ascii="Arial" w:eastAsia="Times New Roman" w:hAnsi="Arial" w:cs="Arial"/>
        <w:strike/>
        <w:u w:val="none"/>
      </w:rPr>
    </w:lvl>
    <w:lvl w:ilvl="1" w:tplc="E9F61C4A">
      <w:start w:val="1"/>
      <w:numFmt w:val="decimal"/>
      <w:lvlText w:val="%2."/>
      <w:lvlJc w:val="left"/>
      <w:pPr>
        <w:ind w:left="2520" w:hanging="360"/>
      </w:pPr>
      <w:rPr>
        <w:rFonts w:hint="default"/>
        <w:b w:val="0"/>
        <w:bCs w:val="0"/>
        <w:u w:val="none"/>
      </w:r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20" w15:restartNumberingAfterBreak="0">
    <w:nsid w:val="5B201642"/>
    <w:multiLevelType w:val="hybridMultilevel"/>
    <w:tmpl w:val="E2D0D320"/>
    <w:lvl w:ilvl="0" w:tplc="FFFFFFFF">
      <w:start w:val="1"/>
      <w:numFmt w:val="decimal"/>
      <w:lvlText w:val="%1."/>
      <w:lvlJc w:val="left"/>
      <w:pPr>
        <w:ind w:left="720" w:hanging="360"/>
      </w:pPr>
    </w:lvl>
    <w:lvl w:ilvl="1" w:tplc="F236B6DC">
      <w:start w:val="1"/>
      <w:numFmt w:val="lowerLetter"/>
      <w:lvlText w:val="%2."/>
      <w:lvlJc w:val="left"/>
      <w:pPr>
        <w:ind w:left="1440" w:hanging="360"/>
      </w:pPr>
      <w:rPr>
        <w:u w:val="singl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955613"/>
    <w:multiLevelType w:val="hybridMultilevel"/>
    <w:tmpl w:val="E1A88F46"/>
    <w:lvl w:ilvl="0" w:tplc="59E89CF2">
      <w:start w:val="1"/>
      <w:numFmt w:val="low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0E5646"/>
    <w:multiLevelType w:val="hybridMultilevel"/>
    <w:tmpl w:val="3D9CD2E6"/>
    <w:lvl w:ilvl="0" w:tplc="FFFFFFFF">
      <w:start w:val="1"/>
      <w:numFmt w:val="lowerLetter"/>
      <w:lvlText w:val="%1."/>
      <w:lvlJc w:val="left"/>
      <w:pPr>
        <w:ind w:left="1800" w:hanging="360"/>
      </w:pPr>
      <w:rPr>
        <w:rFonts w:ascii="Arial" w:eastAsia="Times New Roman" w:hAnsi="Arial" w:cs="Arial"/>
        <w:strike/>
        <w:u w:val="none"/>
      </w:rPr>
    </w:lvl>
    <w:lvl w:ilvl="1" w:tplc="7AFEF70C">
      <w:start w:val="1"/>
      <w:numFmt w:val="decimal"/>
      <w:lvlText w:val="%2."/>
      <w:lvlJc w:val="left"/>
      <w:pPr>
        <w:ind w:left="2520" w:hanging="360"/>
      </w:pPr>
      <w:rPr>
        <w:rFonts w:hint="default"/>
      </w:r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23" w15:restartNumberingAfterBreak="0">
    <w:nsid w:val="62B174D5"/>
    <w:multiLevelType w:val="hybridMultilevel"/>
    <w:tmpl w:val="D826B80A"/>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4" w15:restartNumberingAfterBreak="0">
    <w:nsid w:val="68027203"/>
    <w:multiLevelType w:val="hybridMultilevel"/>
    <w:tmpl w:val="640C7F46"/>
    <w:lvl w:ilvl="0" w:tplc="554A61C8">
      <w:start w:val="1"/>
      <w:numFmt w:val="decimal"/>
      <w:lvlText w:val="%1."/>
      <w:lvlJc w:val="left"/>
      <w:pPr>
        <w:ind w:left="144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94768D"/>
    <w:multiLevelType w:val="hybridMultilevel"/>
    <w:tmpl w:val="C3924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3D3D11"/>
    <w:multiLevelType w:val="multilevel"/>
    <w:tmpl w:val="1EAAB8B6"/>
    <w:lvl w:ilvl="0">
      <w:start w:val="1"/>
      <w:numFmt w:val="decimal"/>
      <w:lvlText w:val="%1."/>
      <w:lvlJc w:val="left"/>
      <w:pPr>
        <w:tabs>
          <w:tab w:val="num" w:pos="720"/>
        </w:tabs>
        <w:ind w:left="720" w:hanging="360"/>
      </w:pPr>
      <w:rPr>
        <w:b w:val="0"/>
        <w:bCs w:val="0"/>
      </w:rPr>
    </w:lvl>
    <w:lvl w:ilvl="1">
      <w:start w:val="106"/>
      <w:numFmt w:val="decimal"/>
      <w:isLgl/>
      <w:lvlText w:val="%1.%2"/>
      <w:lvlJc w:val="left"/>
      <w:pPr>
        <w:ind w:left="1500" w:hanging="1140"/>
      </w:pPr>
      <w:rPr>
        <w:rFonts w:hint="default"/>
      </w:rPr>
    </w:lvl>
    <w:lvl w:ilvl="2">
      <w:start w:val="5"/>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5"/>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86946368">
    <w:abstractNumId w:val="6"/>
  </w:num>
  <w:num w:numId="2" w16cid:durableId="1338844400">
    <w:abstractNumId w:val="11"/>
  </w:num>
  <w:num w:numId="3" w16cid:durableId="784886894">
    <w:abstractNumId w:val="8"/>
  </w:num>
  <w:num w:numId="4" w16cid:durableId="851338103">
    <w:abstractNumId w:val="7"/>
  </w:num>
  <w:num w:numId="5" w16cid:durableId="1297637702">
    <w:abstractNumId w:val="10"/>
  </w:num>
  <w:num w:numId="6" w16cid:durableId="750348690">
    <w:abstractNumId w:val="19"/>
  </w:num>
  <w:num w:numId="7" w16cid:durableId="723066431">
    <w:abstractNumId w:val="20"/>
  </w:num>
  <w:num w:numId="8" w16cid:durableId="1149371031">
    <w:abstractNumId w:val="9"/>
  </w:num>
  <w:num w:numId="9" w16cid:durableId="376201298">
    <w:abstractNumId w:val="3"/>
  </w:num>
  <w:num w:numId="10" w16cid:durableId="1843348782">
    <w:abstractNumId w:val="12"/>
  </w:num>
  <w:num w:numId="11" w16cid:durableId="219440024">
    <w:abstractNumId w:val="14"/>
  </w:num>
  <w:num w:numId="12" w16cid:durableId="506360872">
    <w:abstractNumId w:val="4"/>
  </w:num>
  <w:num w:numId="13" w16cid:durableId="26494730">
    <w:abstractNumId w:val="18"/>
  </w:num>
  <w:num w:numId="14" w16cid:durableId="619533973">
    <w:abstractNumId w:val="17"/>
  </w:num>
  <w:num w:numId="15" w16cid:durableId="1101922804">
    <w:abstractNumId w:val="16"/>
  </w:num>
  <w:num w:numId="16" w16cid:durableId="296643809">
    <w:abstractNumId w:val="15"/>
  </w:num>
  <w:num w:numId="17" w16cid:durableId="1417510008">
    <w:abstractNumId w:val="24"/>
  </w:num>
  <w:num w:numId="18" w16cid:durableId="90930498">
    <w:abstractNumId w:val="22"/>
  </w:num>
  <w:num w:numId="19" w16cid:durableId="1775786614">
    <w:abstractNumId w:val="13"/>
  </w:num>
  <w:num w:numId="20" w16cid:durableId="235938206">
    <w:abstractNumId w:val="21"/>
  </w:num>
  <w:num w:numId="21" w16cid:durableId="1493713217">
    <w:abstractNumId w:val="23"/>
  </w:num>
  <w:num w:numId="22" w16cid:durableId="1264149763">
    <w:abstractNumId w:val="5"/>
  </w:num>
  <w:num w:numId="23" w16cid:durableId="2133818306">
    <w:abstractNumId w:val="26"/>
  </w:num>
  <w:num w:numId="24" w16cid:durableId="1059329034">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B16"/>
    <w:rsid w:val="0000044F"/>
    <w:rsid w:val="00000FE5"/>
    <w:rsid w:val="00001E52"/>
    <w:rsid w:val="0000316E"/>
    <w:rsid w:val="0000422A"/>
    <w:rsid w:val="00004808"/>
    <w:rsid w:val="000067A4"/>
    <w:rsid w:val="00007673"/>
    <w:rsid w:val="000077BE"/>
    <w:rsid w:val="000109FF"/>
    <w:rsid w:val="000132D0"/>
    <w:rsid w:val="00013B6F"/>
    <w:rsid w:val="00013DC6"/>
    <w:rsid w:val="00014285"/>
    <w:rsid w:val="0001477F"/>
    <w:rsid w:val="000154E3"/>
    <w:rsid w:val="0002127F"/>
    <w:rsid w:val="000214D5"/>
    <w:rsid w:val="000215CD"/>
    <w:rsid w:val="000255A9"/>
    <w:rsid w:val="00025EFC"/>
    <w:rsid w:val="000261B9"/>
    <w:rsid w:val="00026331"/>
    <w:rsid w:val="00026B98"/>
    <w:rsid w:val="00026C30"/>
    <w:rsid w:val="00027175"/>
    <w:rsid w:val="00027541"/>
    <w:rsid w:val="000278E7"/>
    <w:rsid w:val="00027F66"/>
    <w:rsid w:val="00030880"/>
    <w:rsid w:val="00032921"/>
    <w:rsid w:val="000348B1"/>
    <w:rsid w:val="000348CF"/>
    <w:rsid w:val="00034E17"/>
    <w:rsid w:val="000354E5"/>
    <w:rsid w:val="000362C6"/>
    <w:rsid w:val="00036710"/>
    <w:rsid w:val="0003706E"/>
    <w:rsid w:val="00040860"/>
    <w:rsid w:val="00040C37"/>
    <w:rsid w:val="00041314"/>
    <w:rsid w:val="00041FBC"/>
    <w:rsid w:val="00045A02"/>
    <w:rsid w:val="00045F30"/>
    <w:rsid w:val="00052A2E"/>
    <w:rsid w:val="00055E76"/>
    <w:rsid w:val="000561FF"/>
    <w:rsid w:val="00056F37"/>
    <w:rsid w:val="00060985"/>
    <w:rsid w:val="000612B5"/>
    <w:rsid w:val="00063004"/>
    <w:rsid w:val="00065248"/>
    <w:rsid w:val="00066071"/>
    <w:rsid w:val="00066E60"/>
    <w:rsid w:val="0007177A"/>
    <w:rsid w:val="00071AB5"/>
    <w:rsid w:val="00071B82"/>
    <w:rsid w:val="00072223"/>
    <w:rsid w:val="000726CF"/>
    <w:rsid w:val="00073B53"/>
    <w:rsid w:val="0007686F"/>
    <w:rsid w:val="00077600"/>
    <w:rsid w:val="00080305"/>
    <w:rsid w:val="00081ABF"/>
    <w:rsid w:val="00081C51"/>
    <w:rsid w:val="000824CA"/>
    <w:rsid w:val="00083150"/>
    <w:rsid w:val="00083213"/>
    <w:rsid w:val="00085F23"/>
    <w:rsid w:val="00086550"/>
    <w:rsid w:val="00086B39"/>
    <w:rsid w:val="00086B48"/>
    <w:rsid w:val="0008783E"/>
    <w:rsid w:val="00090796"/>
    <w:rsid w:val="00094024"/>
    <w:rsid w:val="00094304"/>
    <w:rsid w:val="000951CF"/>
    <w:rsid w:val="000954C2"/>
    <w:rsid w:val="00095E36"/>
    <w:rsid w:val="000A0627"/>
    <w:rsid w:val="000A0647"/>
    <w:rsid w:val="000A4458"/>
    <w:rsid w:val="000A54BD"/>
    <w:rsid w:val="000A5C6A"/>
    <w:rsid w:val="000A62B4"/>
    <w:rsid w:val="000A79C7"/>
    <w:rsid w:val="000A7C38"/>
    <w:rsid w:val="000B01A2"/>
    <w:rsid w:val="000B1FF6"/>
    <w:rsid w:val="000B22E4"/>
    <w:rsid w:val="000B28E3"/>
    <w:rsid w:val="000B4DD5"/>
    <w:rsid w:val="000B59B9"/>
    <w:rsid w:val="000B68FF"/>
    <w:rsid w:val="000B7C45"/>
    <w:rsid w:val="000B7D9A"/>
    <w:rsid w:val="000C07F9"/>
    <w:rsid w:val="000C1174"/>
    <w:rsid w:val="000C1E18"/>
    <w:rsid w:val="000C2032"/>
    <w:rsid w:val="000C4471"/>
    <w:rsid w:val="000C44CF"/>
    <w:rsid w:val="000C4915"/>
    <w:rsid w:val="000C7272"/>
    <w:rsid w:val="000C756B"/>
    <w:rsid w:val="000D0602"/>
    <w:rsid w:val="000D0EEC"/>
    <w:rsid w:val="000D12D3"/>
    <w:rsid w:val="000D27F7"/>
    <w:rsid w:val="000D3392"/>
    <w:rsid w:val="000D4432"/>
    <w:rsid w:val="000D4AB5"/>
    <w:rsid w:val="000D54B2"/>
    <w:rsid w:val="000D559A"/>
    <w:rsid w:val="000D5E86"/>
    <w:rsid w:val="000D66E4"/>
    <w:rsid w:val="000D6E56"/>
    <w:rsid w:val="000E0D0E"/>
    <w:rsid w:val="000E0F44"/>
    <w:rsid w:val="000E2B67"/>
    <w:rsid w:val="000E3843"/>
    <w:rsid w:val="000E457D"/>
    <w:rsid w:val="000E517C"/>
    <w:rsid w:val="000E5FA1"/>
    <w:rsid w:val="000E7205"/>
    <w:rsid w:val="000E7D15"/>
    <w:rsid w:val="000F18CB"/>
    <w:rsid w:val="000F47EE"/>
    <w:rsid w:val="000F7A74"/>
    <w:rsid w:val="00100F86"/>
    <w:rsid w:val="001023B9"/>
    <w:rsid w:val="0010323E"/>
    <w:rsid w:val="00104164"/>
    <w:rsid w:val="00105FF9"/>
    <w:rsid w:val="00106428"/>
    <w:rsid w:val="00106BDC"/>
    <w:rsid w:val="0010752D"/>
    <w:rsid w:val="00110A1D"/>
    <w:rsid w:val="00110EA7"/>
    <w:rsid w:val="00111850"/>
    <w:rsid w:val="00111F01"/>
    <w:rsid w:val="001126D5"/>
    <w:rsid w:val="00112E66"/>
    <w:rsid w:val="00113569"/>
    <w:rsid w:val="00114832"/>
    <w:rsid w:val="00117DB9"/>
    <w:rsid w:val="001208ED"/>
    <w:rsid w:val="0012119A"/>
    <w:rsid w:val="001218D7"/>
    <w:rsid w:val="0012297B"/>
    <w:rsid w:val="00123EDB"/>
    <w:rsid w:val="0012497B"/>
    <w:rsid w:val="00124BE8"/>
    <w:rsid w:val="00126C72"/>
    <w:rsid w:val="00127440"/>
    <w:rsid w:val="001301EC"/>
    <w:rsid w:val="0013208A"/>
    <w:rsid w:val="0013509B"/>
    <w:rsid w:val="001350B4"/>
    <w:rsid w:val="0013652F"/>
    <w:rsid w:val="00140714"/>
    <w:rsid w:val="00140B04"/>
    <w:rsid w:val="001410D2"/>
    <w:rsid w:val="001410FF"/>
    <w:rsid w:val="00141428"/>
    <w:rsid w:val="001427D3"/>
    <w:rsid w:val="00145CB2"/>
    <w:rsid w:val="00147B3C"/>
    <w:rsid w:val="00150530"/>
    <w:rsid w:val="00150555"/>
    <w:rsid w:val="00150A06"/>
    <w:rsid w:val="00150E2E"/>
    <w:rsid w:val="00151708"/>
    <w:rsid w:val="00152C33"/>
    <w:rsid w:val="00153675"/>
    <w:rsid w:val="00153E50"/>
    <w:rsid w:val="00155456"/>
    <w:rsid w:val="00155A13"/>
    <w:rsid w:val="00157634"/>
    <w:rsid w:val="001608A0"/>
    <w:rsid w:val="00160F2D"/>
    <w:rsid w:val="00161510"/>
    <w:rsid w:val="001657A4"/>
    <w:rsid w:val="00165E9C"/>
    <w:rsid w:val="00166F8B"/>
    <w:rsid w:val="001679EA"/>
    <w:rsid w:val="0017021D"/>
    <w:rsid w:val="00170372"/>
    <w:rsid w:val="00173E27"/>
    <w:rsid w:val="00173F44"/>
    <w:rsid w:val="00174C83"/>
    <w:rsid w:val="00174DD2"/>
    <w:rsid w:val="0017564F"/>
    <w:rsid w:val="0017596F"/>
    <w:rsid w:val="00182678"/>
    <w:rsid w:val="001856CA"/>
    <w:rsid w:val="00190546"/>
    <w:rsid w:val="00190AD6"/>
    <w:rsid w:val="001920F4"/>
    <w:rsid w:val="00192877"/>
    <w:rsid w:val="001942CA"/>
    <w:rsid w:val="001946F6"/>
    <w:rsid w:val="00195284"/>
    <w:rsid w:val="00197D0B"/>
    <w:rsid w:val="001A1A03"/>
    <w:rsid w:val="001A27A8"/>
    <w:rsid w:val="001A388D"/>
    <w:rsid w:val="001A47C1"/>
    <w:rsid w:val="001A60B5"/>
    <w:rsid w:val="001A60D0"/>
    <w:rsid w:val="001A67A6"/>
    <w:rsid w:val="001A74A0"/>
    <w:rsid w:val="001A7F73"/>
    <w:rsid w:val="001B0699"/>
    <w:rsid w:val="001B0B8C"/>
    <w:rsid w:val="001B10B6"/>
    <w:rsid w:val="001B1D01"/>
    <w:rsid w:val="001B207A"/>
    <w:rsid w:val="001B2391"/>
    <w:rsid w:val="001B276B"/>
    <w:rsid w:val="001B2A51"/>
    <w:rsid w:val="001B5169"/>
    <w:rsid w:val="001B7649"/>
    <w:rsid w:val="001B7B02"/>
    <w:rsid w:val="001B7B59"/>
    <w:rsid w:val="001C0847"/>
    <w:rsid w:val="001C333F"/>
    <w:rsid w:val="001C6ACE"/>
    <w:rsid w:val="001C6F07"/>
    <w:rsid w:val="001D0EC3"/>
    <w:rsid w:val="001D14ED"/>
    <w:rsid w:val="001D15B2"/>
    <w:rsid w:val="001D1B86"/>
    <w:rsid w:val="001D4003"/>
    <w:rsid w:val="001D4F15"/>
    <w:rsid w:val="001D4F60"/>
    <w:rsid w:val="001E0D64"/>
    <w:rsid w:val="001E0E89"/>
    <w:rsid w:val="001E119B"/>
    <w:rsid w:val="001E2D16"/>
    <w:rsid w:val="001E4175"/>
    <w:rsid w:val="001E472B"/>
    <w:rsid w:val="001E52D6"/>
    <w:rsid w:val="001E5BDE"/>
    <w:rsid w:val="001E7B63"/>
    <w:rsid w:val="001F114E"/>
    <w:rsid w:val="001F1DFF"/>
    <w:rsid w:val="001F47C8"/>
    <w:rsid w:val="001F7579"/>
    <w:rsid w:val="0020098D"/>
    <w:rsid w:val="00200C30"/>
    <w:rsid w:val="00202367"/>
    <w:rsid w:val="0020245B"/>
    <w:rsid w:val="00202CFE"/>
    <w:rsid w:val="00203618"/>
    <w:rsid w:val="00203699"/>
    <w:rsid w:val="002051F9"/>
    <w:rsid w:val="002068F3"/>
    <w:rsid w:val="0020706B"/>
    <w:rsid w:val="00210826"/>
    <w:rsid w:val="002111E4"/>
    <w:rsid w:val="002121B5"/>
    <w:rsid w:val="002123DF"/>
    <w:rsid w:val="0021307D"/>
    <w:rsid w:val="00213703"/>
    <w:rsid w:val="0021377E"/>
    <w:rsid w:val="00214ED2"/>
    <w:rsid w:val="00220CC5"/>
    <w:rsid w:val="002215E4"/>
    <w:rsid w:val="002250AF"/>
    <w:rsid w:val="002253D4"/>
    <w:rsid w:val="00225B78"/>
    <w:rsid w:val="002273A5"/>
    <w:rsid w:val="0022755E"/>
    <w:rsid w:val="00233999"/>
    <w:rsid w:val="00233A0E"/>
    <w:rsid w:val="00233FD3"/>
    <w:rsid w:val="00234658"/>
    <w:rsid w:val="002373B0"/>
    <w:rsid w:val="002379F5"/>
    <w:rsid w:val="00237D49"/>
    <w:rsid w:val="00240527"/>
    <w:rsid w:val="00241C4C"/>
    <w:rsid w:val="002421BE"/>
    <w:rsid w:val="0024298A"/>
    <w:rsid w:val="00244129"/>
    <w:rsid w:val="00244467"/>
    <w:rsid w:val="00244BC5"/>
    <w:rsid w:val="00246514"/>
    <w:rsid w:val="00246ACB"/>
    <w:rsid w:val="00246C56"/>
    <w:rsid w:val="00246D2D"/>
    <w:rsid w:val="002476E0"/>
    <w:rsid w:val="00247BB8"/>
    <w:rsid w:val="00250003"/>
    <w:rsid w:val="002504AD"/>
    <w:rsid w:val="002505D5"/>
    <w:rsid w:val="00250D5C"/>
    <w:rsid w:val="00251450"/>
    <w:rsid w:val="00251DB1"/>
    <w:rsid w:val="00251E3F"/>
    <w:rsid w:val="00251FC3"/>
    <w:rsid w:val="0025349C"/>
    <w:rsid w:val="00254947"/>
    <w:rsid w:val="00255D48"/>
    <w:rsid w:val="002577CD"/>
    <w:rsid w:val="00262856"/>
    <w:rsid w:val="00262DA5"/>
    <w:rsid w:val="002655E9"/>
    <w:rsid w:val="00266CDC"/>
    <w:rsid w:val="00267B47"/>
    <w:rsid w:val="0027043A"/>
    <w:rsid w:val="002707D2"/>
    <w:rsid w:val="002725A8"/>
    <w:rsid w:val="00272701"/>
    <w:rsid w:val="00276ADB"/>
    <w:rsid w:val="00277168"/>
    <w:rsid w:val="00277746"/>
    <w:rsid w:val="00277AA4"/>
    <w:rsid w:val="00277CEF"/>
    <w:rsid w:val="00277E7C"/>
    <w:rsid w:val="002813EC"/>
    <w:rsid w:val="002816C7"/>
    <w:rsid w:val="00284F68"/>
    <w:rsid w:val="00285773"/>
    <w:rsid w:val="002873CA"/>
    <w:rsid w:val="00290F8F"/>
    <w:rsid w:val="00291E79"/>
    <w:rsid w:val="002928D3"/>
    <w:rsid w:val="00295594"/>
    <w:rsid w:val="0029DD10"/>
    <w:rsid w:val="002A0D0E"/>
    <w:rsid w:val="002A3309"/>
    <w:rsid w:val="002A35B4"/>
    <w:rsid w:val="002A5894"/>
    <w:rsid w:val="002A606B"/>
    <w:rsid w:val="002A6479"/>
    <w:rsid w:val="002A664C"/>
    <w:rsid w:val="002A70B2"/>
    <w:rsid w:val="002B0FF8"/>
    <w:rsid w:val="002B1A90"/>
    <w:rsid w:val="002B1F3F"/>
    <w:rsid w:val="002B20E3"/>
    <w:rsid w:val="002B239A"/>
    <w:rsid w:val="002B350F"/>
    <w:rsid w:val="002B50E3"/>
    <w:rsid w:val="002B5C32"/>
    <w:rsid w:val="002B666F"/>
    <w:rsid w:val="002B67ED"/>
    <w:rsid w:val="002B779D"/>
    <w:rsid w:val="002C0126"/>
    <w:rsid w:val="002C0244"/>
    <w:rsid w:val="002C2593"/>
    <w:rsid w:val="002C39B9"/>
    <w:rsid w:val="002C3CF4"/>
    <w:rsid w:val="002C4780"/>
    <w:rsid w:val="002C4D43"/>
    <w:rsid w:val="002C5294"/>
    <w:rsid w:val="002C52AC"/>
    <w:rsid w:val="002C652D"/>
    <w:rsid w:val="002C799C"/>
    <w:rsid w:val="002D0346"/>
    <w:rsid w:val="002D19E0"/>
    <w:rsid w:val="002D2B4C"/>
    <w:rsid w:val="002D4758"/>
    <w:rsid w:val="002D55D4"/>
    <w:rsid w:val="002D6EAE"/>
    <w:rsid w:val="002D7B2E"/>
    <w:rsid w:val="002D7BE0"/>
    <w:rsid w:val="002D7F0B"/>
    <w:rsid w:val="002E070B"/>
    <w:rsid w:val="002E0D07"/>
    <w:rsid w:val="002E238D"/>
    <w:rsid w:val="002E2DCA"/>
    <w:rsid w:val="002E3D03"/>
    <w:rsid w:val="002E493E"/>
    <w:rsid w:val="002E5810"/>
    <w:rsid w:val="002F078B"/>
    <w:rsid w:val="002F2559"/>
    <w:rsid w:val="002F2FF8"/>
    <w:rsid w:val="002F38E7"/>
    <w:rsid w:val="002F3C8B"/>
    <w:rsid w:val="002F44DB"/>
    <w:rsid w:val="002F4C17"/>
    <w:rsid w:val="002F4FB8"/>
    <w:rsid w:val="002F5C30"/>
    <w:rsid w:val="002F65A7"/>
    <w:rsid w:val="002F6EE9"/>
    <w:rsid w:val="002F76D5"/>
    <w:rsid w:val="0030253B"/>
    <w:rsid w:val="00303995"/>
    <w:rsid w:val="00304F16"/>
    <w:rsid w:val="003058A3"/>
    <w:rsid w:val="0030679E"/>
    <w:rsid w:val="00312458"/>
    <w:rsid w:val="00312F47"/>
    <w:rsid w:val="003147FF"/>
    <w:rsid w:val="00316188"/>
    <w:rsid w:val="00316349"/>
    <w:rsid w:val="00316DF9"/>
    <w:rsid w:val="00316F8A"/>
    <w:rsid w:val="003176B1"/>
    <w:rsid w:val="00320BFD"/>
    <w:rsid w:val="00321462"/>
    <w:rsid w:val="003214CA"/>
    <w:rsid w:val="0032378E"/>
    <w:rsid w:val="00323A4C"/>
    <w:rsid w:val="003246D7"/>
    <w:rsid w:val="00324856"/>
    <w:rsid w:val="0032634C"/>
    <w:rsid w:val="00330AA8"/>
    <w:rsid w:val="00332ABC"/>
    <w:rsid w:val="00333368"/>
    <w:rsid w:val="003335B4"/>
    <w:rsid w:val="00335442"/>
    <w:rsid w:val="003359CB"/>
    <w:rsid w:val="00335F8C"/>
    <w:rsid w:val="003363A3"/>
    <w:rsid w:val="00336506"/>
    <w:rsid w:val="00340BFF"/>
    <w:rsid w:val="003412A6"/>
    <w:rsid w:val="003443F4"/>
    <w:rsid w:val="00344656"/>
    <w:rsid w:val="003454B9"/>
    <w:rsid w:val="003460D7"/>
    <w:rsid w:val="003464FA"/>
    <w:rsid w:val="00346AD4"/>
    <w:rsid w:val="003471D1"/>
    <w:rsid w:val="003475D1"/>
    <w:rsid w:val="00351C66"/>
    <w:rsid w:val="00351EDD"/>
    <w:rsid w:val="0035291D"/>
    <w:rsid w:val="00352E73"/>
    <w:rsid w:val="003532C0"/>
    <w:rsid w:val="0035381C"/>
    <w:rsid w:val="003539D2"/>
    <w:rsid w:val="00354341"/>
    <w:rsid w:val="00355298"/>
    <w:rsid w:val="0035752C"/>
    <w:rsid w:val="00357D1F"/>
    <w:rsid w:val="00360171"/>
    <w:rsid w:val="003605A6"/>
    <w:rsid w:val="00361E34"/>
    <w:rsid w:val="003623AE"/>
    <w:rsid w:val="003629D9"/>
    <w:rsid w:val="00363B22"/>
    <w:rsid w:val="00363F2F"/>
    <w:rsid w:val="00365204"/>
    <w:rsid w:val="0036628E"/>
    <w:rsid w:val="003662AA"/>
    <w:rsid w:val="00367A67"/>
    <w:rsid w:val="00367EE1"/>
    <w:rsid w:val="00370BD1"/>
    <w:rsid w:val="003710EE"/>
    <w:rsid w:val="003718FF"/>
    <w:rsid w:val="003720BF"/>
    <w:rsid w:val="00372F0B"/>
    <w:rsid w:val="00373907"/>
    <w:rsid w:val="00376829"/>
    <w:rsid w:val="0037699D"/>
    <w:rsid w:val="00376F1C"/>
    <w:rsid w:val="00376F60"/>
    <w:rsid w:val="00377FDF"/>
    <w:rsid w:val="0038101E"/>
    <w:rsid w:val="00382505"/>
    <w:rsid w:val="003827C5"/>
    <w:rsid w:val="00383840"/>
    <w:rsid w:val="00387C64"/>
    <w:rsid w:val="00387F4F"/>
    <w:rsid w:val="00390B8B"/>
    <w:rsid w:val="0039366C"/>
    <w:rsid w:val="003940AC"/>
    <w:rsid w:val="00394D97"/>
    <w:rsid w:val="00394EC7"/>
    <w:rsid w:val="00395EA7"/>
    <w:rsid w:val="003960B9"/>
    <w:rsid w:val="0039715B"/>
    <w:rsid w:val="00397D6F"/>
    <w:rsid w:val="003A1B12"/>
    <w:rsid w:val="003A2894"/>
    <w:rsid w:val="003A2977"/>
    <w:rsid w:val="003A6732"/>
    <w:rsid w:val="003A6901"/>
    <w:rsid w:val="003A7FE6"/>
    <w:rsid w:val="003B0728"/>
    <w:rsid w:val="003B2321"/>
    <w:rsid w:val="003B2C92"/>
    <w:rsid w:val="003B3031"/>
    <w:rsid w:val="003B46F9"/>
    <w:rsid w:val="003B5062"/>
    <w:rsid w:val="003B5618"/>
    <w:rsid w:val="003B584B"/>
    <w:rsid w:val="003B5B33"/>
    <w:rsid w:val="003B5E4F"/>
    <w:rsid w:val="003B7102"/>
    <w:rsid w:val="003C04D6"/>
    <w:rsid w:val="003C2191"/>
    <w:rsid w:val="003C5128"/>
    <w:rsid w:val="003C5DE6"/>
    <w:rsid w:val="003C7971"/>
    <w:rsid w:val="003D0802"/>
    <w:rsid w:val="003D1E12"/>
    <w:rsid w:val="003D225B"/>
    <w:rsid w:val="003D3D5D"/>
    <w:rsid w:val="003D43A5"/>
    <w:rsid w:val="003D6EC1"/>
    <w:rsid w:val="003E0356"/>
    <w:rsid w:val="003E0BE5"/>
    <w:rsid w:val="003E17CF"/>
    <w:rsid w:val="003E1E1E"/>
    <w:rsid w:val="003E26A9"/>
    <w:rsid w:val="003E27C3"/>
    <w:rsid w:val="003E297F"/>
    <w:rsid w:val="003E54A5"/>
    <w:rsid w:val="003E6000"/>
    <w:rsid w:val="003F03DD"/>
    <w:rsid w:val="003F3799"/>
    <w:rsid w:val="003F420A"/>
    <w:rsid w:val="003F505B"/>
    <w:rsid w:val="003F52CD"/>
    <w:rsid w:val="003F57F3"/>
    <w:rsid w:val="003F601F"/>
    <w:rsid w:val="003F6BC4"/>
    <w:rsid w:val="003F75D7"/>
    <w:rsid w:val="003F7C1D"/>
    <w:rsid w:val="003FE4AB"/>
    <w:rsid w:val="004015EB"/>
    <w:rsid w:val="0040184F"/>
    <w:rsid w:val="00402003"/>
    <w:rsid w:val="00403151"/>
    <w:rsid w:val="00403B9F"/>
    <w:rsid w:val="00404017"/>
    <w:rsid w:val="0040434F"/>
    <w:rsid w:val="00406485"/>
    <w:rsid w:val="00410486"/>
    <w:rsid w:val="004109D4"/>
    <w:rsid w:val="00410BAA"/>
    <w:rsid w:val="00413BA5"/>
    <w:rsid w:val="00416D67"/>
    <w:rsid w:val="00416DC0"/>
    <w:rsid w:val="00417CDC"/>
    <w:rsid w:val="004200AF"/>
    <w:rsid w:val="004206EA"/>
    <w:rsid w:val="00420765"/>
    <w:rsid w:val="00422C71"/>
    <w:rsid w:val="0042378E"/>
    <w:rsid w:val="00424DE4"/>
    <w:rsid w:val="004250EC"/>
    <w:rsid w:val="00425197"/>
    <w:rsid w:val="00425309"/>
    <w:rsid w:val="0042596D"/>
    <w:rsid w:val="00425F42"/>
    <w:rsid w:val="00427B95"/>
    <w:rsid w:val="0043037C"/>
    <w:rsid w:val="00430D3E"/>
    <w:rsid w:val="004327C2"/>
    <w:rsid w:val="00435815"/>
    <w:rsid w:val="004379C8"/>
    <w:rsid w:val="004379ED"/>
    <w:rsid w:val="004405C8"/>
    <w:rsid w:val="00440748"/>
    <w:rsid w:val="00444C61"/>
    <w:rsid w:val="0044522F"/>
    <w:rsid w:val="00445978"/>
    <w:rsid w:val="00447EBE"/>
    <w:rsid w:val="004501D1"/>
    <w:rsid w:val="0045155C"/>
    <w:rsid w:val="00451A8F"/>
    <w:rsid w:val="00451CD3"/>
    <w:rsid w:val="004537F9"/>
    <w:rsid w:val="00455E39"/>
    <w:rsid w:val="004570AD"/>
    <w:rsid w:val="00457AE9"/>
    <w:rsid w:val="00457B31"/>
    <w:rsid w:val="00460999"/>
    <w:rsid w:val="004613AD"/>
    <w:rsid w:val="00461604"/>
    <w:rsid w:val="004617D9"/>
    <w:rsid w:val="00461D64"/>
    <w:rsid w:val="004626C3"/>
    <w:rsid w:val="00462871"/>
    <w:rsid w:val="0046292A"/>
    <w:rsid w:val="00462E24"/>
    <w:rsid w:val="00464C50"/>
    <w:rsid w:val="00465BD8"/>
    <w:rsid w:val="0046638B"/>
    <w:rsid w:val="0046648E"/>
    <w:rsid w:val="0046681C"/>
    <w:rsid w:val="00470EA3"/>
    <w:rsid w:val="00471FF0"/>
    <w:rsid w:val="00472784"/>
    <w:rsid w:val="00475381"/>
    <w:rsid w:val="00475ECF"/>
    <w:rsid w:val="00476264"/>
    <w:rsid w:val="004825E9"/>
    <w:rsid w:val="00482D66"/>
    <w:rsid w:val="00483240"/>
    <w:rsid w:val="00486DBC"/>
    <w:rsid w:val="00487141"/>
    <w:rsid w:val="00490711"/>
    <w:rsid w:val="00490BCD"/>
    <w:rsid w:val="00491567"/>
    <w:rsid w:val="0049237D"/>
    <w:rsid w:val="004936F1"/>
    <w:rsid w:val="0049393C"/>
    <w:rsid w:val="00494453"/>
    <w:rsid w:val="0049476F"/>
    <w:rsid w:val="00495E34"/>
    <w:rsid w:val="0049693C"/>
    <w:rsid w:val="004A22F9"/>
    <w:rsid w:val="004A3757"/>
    <w:rsid w:val="004A4CF7"/>
    <w:rsid w:val="004A51A0"/>
    <w:rsid w:val="004A63F3"/>
    <w:rsid w:val="004A7543"/>
    <w:rsid w:val="004A77ED"/>
    <w:rsid w:val="004A7E67"/>
    <w:rsid w:val="004B00AA"/>
    <w:rsid w:val="004B26AF"/>
    <w:rsid w:val="004B2850"/>
    <w:rsid w:val="004B316E"/>
    <w:rsid w:val="004B3F9D"/>
    <w:rsid w:val="004B4B82"/>
    <w:rsid w:val="004B7BC2"/>
    <w:rsid w:val="004C06A1"/>
    <w:rsid w:val="004C0D77"/>
    <w:rsid w:val="004C2329"/>
    <w:rsid w:val="004C30CE"/>
    <w:rsid w:val="004C3EC8"/>
    <w:rsid w:val="004C62F3"/>
    <w:rsid w:val="004C68DD"/>
    <w:rsid w:val="004D01D3"/>
    <w:rsid w:val="004D05EC"/>
    <w:rsid w:val="004D0CD6"/>
    <w:rsid w:val="004D17D0"/>
    <w:rsid w:val="004D2057"/>
    <w:rsid w:val="004D2072"/>
    <w:rsid w:val="004D3EF7"/>
    <w:rsid w:val="004D550B"/>
    <w:rsid w:val="004D6200"/>
    <w:rsid w:val="004D6E74"/>
    <w:rsid w:val="004E0B6D"/>
    <w:rsid w:val="004E2FFB"/>
    <w:rsid w:val="004E331C"/>
    <w:rsid w:val="004E63A1"/>
    <w:rsid w:val="004E64DB"/>
    <w:rsid w:val="004E756D"/>
    <w:rsid w:val="004E7FB1"/>
    <w:rsid w:val="004F29AA"/>
    <w:rsid w:val="004F4D9A"/>
    <w:rsid w:val="004F5583"/>
    <w:rsid w:val="005000A1"/>
    <w:rsid w:val="00500347"/>
    <w:rsid w:val="00502C70"/>
    <w:rsid w:val="00503B9D"/>
    <w:rsid w:val="005045D5"/>
    <w:rsid w:val="005048F6"/>
    <w:rsid w:val="00505283"/>
    <w:rsid w:val="005057B9"/>
    <w:rsid w:val="00506585"/>
    <w:rsid w:val="00506F88"/>
    <w:rsid w:val="00507720"/>
    <w:rsid w:val="00507839"/>
    <w:rsid w:val="00510233"/>
    <w:rsid w:val="005102E9"/>
    <w:rsid w:val="00510F95"/>
    <w:rsid w:val="00511646"/>
    <w:rsid w:val="00512878"/>
    <w:rsid w:val="00514B8E"/>
    <w:rsid w:val="00514F08"/>
    <w:rsid w:val="00514F88"/>
    <w:rsid w:val="005155E2"/>
    <w:rsid w:val="00515E17"/>
    <w:rsid w:val="005177D3"/>
    <w:rsid w:val="005178D6"/>
    <w:rsid w:val="00520370"/>
    <w:rsid w:val="00520E94"/>
    <w:rsid w:val="0052262C"/>
    <w:rsid w:val="0053003A"/>
    <w:rsid w:val="00530DEB"/>
    <w:rsid w:val="005312FA"/>
    <w:rsid w:val="00531C84"/>
    <w:rsid w:val="00532BF7"/>
    <w:rsid w:val="00535756"/>
    <w:rsid w:val="00535EF4"/>
    <w:rsid w:val="00540E8B"/>
    <w:rsid w:val="005411A7"/>
    <w:rsid w:val="0054273B"/>
    <w:rsid w:val="00542A1D"/>
    <w:rsid w:val="00542C6B"/>
    <w:rsid w:val="005434A9"/>
    <w:rsid w:val="00543A3E"/>
    <w:rsid w:val="00543BD9"/>
    <w:rsid w:val="005440A3"/>
    <w:rsid w:val="005440B7"/>
    <w:rsid w:val="005442EC"/>
    <w:rsid w:val="0054449E"/>
    <w:rsid w:val="00544C19"/>
    <w:rsid w:val="00544D9B"/>
    <w:rsid w:val="0054531E"/>
    <w:rsid w:val="00546B54"/>
    <w:rsid w:val="00547CC6"/>
    <w:rsid w:val="00550414"/>
    <w:rsid w:val="00550BFA"/>
    <w:rsid w:val="00551800"/>
    <w:rsid w:val="00554336"/>
    <w:rsid w:val="0055508F"/>
    <w:rsid w:val="00555186"/>
    <w:rsid w:val="00555A8C"/>
    <w:rsid w:val="00556DFE"/>
    <w:rsid w:val="0056223B"/>
    <w:rsid w:val="00565C38"/>
    <w:rsid w:val="00565F2B"/>
    <w:rsid w:val="00566DDD"/>
    <w:rsid w:val="0057133F"/>
    <w:rsid w:val="00571BD8"/>
    <w:rsid w:val="005737D8"/>
    <w:rsid w:val="00573B95"/>
    <w:rsid w:val="005743E2"/>
    <w:rsid w:val="00575F5D"/>
    <w:rsid w:val="00580050"/>
    <w:rsid w:val="005826D9"/>
    <w:rsid w:val="00582857"/>
    <w:rsid w:val="00582A80"/>
    <w:rsid w:val="00583882"/>
    <w:rsid w:val="00584189"/>
    <w:rsid w:val="005862D6"/>
    <w:rsid w:val="00587F9E"/>
    <w:rsid w:val="00587FCC"/>
    <w:rsid w:val="00589567"/>
    <w:rsid w:val="00590FD5"/>
    <w:rsid w:val="005916C0"/>
    <w:rsid w:val="00591C6C"/>
    <w:rsid w:val="00591CDF"/>
    <w:rsid w:val="00591E3D"/>
    <w:rsid w:val="00592903"/>
    <w:rsid w:val="00592B6A"/>
    <w:rsid w:val="0059689E"/>
    <w:rsid w:val="005968E2"/>
    <w:rsid w:val="00597F96"/>
    <w:rsid w:val="005A0174"/>
    <w:rsid w:val="005A105F"/>
    <w:rsid w:val="005A12D1"/>
    <w:rsid w:val="005A2A48"/>
    <w:rsid w:val="005A2F8C"/>
    <w:rsid w:val="005A3891"/>
    <w:rsid w:val="005A3EAA"/>
    <w:rsid w:val="005A40FF"/>
    <w:rsid w:val="005A483E"/>
    <w:rsid w:val="005A5BF6"/>
    <w:rsid w:val="005A603B"/>
    <w:rsid w:val="005A6618"/>
    <w:rsid w:val="005A7C24"/>
    <w:rsid w:val="005B3785"/>
    <w:rsid w:val="005B3948"/>
    <w:rsid w:val="005C0A37"/>
    <w:rsid w:val="005C0B1B"/>
    <w:rsid w:val="005C1C27"/>
    <w:rsid w:val="005C496A"/>
    <w:rsid w:val="005C54CA"/>
    <w:rsid w:val="005C5B90"/>
    <w:rsid w:val="005C7D78"/>
    <w:rsid w:val="005D064D"/>
    <w:rsid w:val="005D27DC"/>
    <w:rsid w:val="005D3549"/>
    <w:rsid w:val="005D6095"/>
    <w:rsid w:val="005D64B9"/>
    <w:rsid w:val="005D68B0"/>
    <w:rsid w:val="005E0EBE"/>
    <w:rsid w:val="005E10E6"/>
    <w:rsid w:val="005E432C"/>
    <w:rsid w:val="005E44B6"/>
    <w:rsid w:val="005E4DEF"/>
    <w:rsid w:val="005E7137"/>
    <w:rsid w:val="005E7288"/>
    <w:rsid w:val="005F038E"/>
    <w:rsid w:val="005F1992"/>
    <w:rsid w:val="005F22D8"/>
    <w:rsid w:val="005F40B4"/>
    <w:rsid w:val="005F5236"/>
    <w:rsid w:val="005F6286"/>
    <w:rsid w:val="005F78A1"/>
    <w:rsid w:val="005F7D38"/>
    <w:rsid w:val="00600765"/>
    <w:rsid w:val="00600A5C"/>
    <w:rsid w:val="00601AB9"/>
    <w:rsid w:val="00602632"/>
    <w:rsid w:val="00602DE2"/>
    <w:rsid w:val="006033DB"/>
    <w:rsid w:val="00604022"/>
    <w:rsid w:val="0060563C"/>
    <w:rsid w:val="006063D5"/>
    <w:rsid w:val="00606B11"/>
    <w:rsid w:val="0060730C"/>
    <w:rsid w:val="00611C68"/>
    <w:rsid w:val="006141A3"/>
    <w:rsid w:val="0061439A"/>
    <w:rsid w:val="006158AD"/>
    <w:rsid w:val="00616262"/>
    <w:rsid w:val="00616602"/>
    <w:rsid w:val="00617094"/>
    <w:rsid w:val="00621091"/>
    <w:rsid w:val="006229BB"/>
    <w:rsid w:val="0062357D"/>
    <w:rsid w:val="00623DFF"/>
    <w:rsid w:val="00625E22"/>
    <w:rsid w:val="00625FE9"/>
    <w:rsid w:val="00626E62"/>
    <w:rsid w:val="00627319"/>
    <w:rsid w:val="0063246A"/>
    <w:rsid w:val="0063281D"/>
    <w:rsid w:val="00633DF8"/>
    <w:rsid w:val="00633E6B"/>
    <w:rsid w:val="006347D3"/>
    <w:rsid w:val="00635A8F"/>
    <w:rsid w:val="00636595"/>
    <w:rsid w:val="006369F5"/>
    <w:rsid w:val="00636C97"/>
    <w:rsid w:val="006373B4"/>
    <w:rsid w:val="0063741C"/>
    <w:rsid w:val="00637A9F"/>
    <w:rsid w:val="00640477"/>
    <w:rsid w:val="00640AF0"/>
    <w:rsid w:val="00640CD2"/>
    <w:rsid w:val="0064170F"/>
    <w:rsid w:val="00642321"/>
    <w:rsid w:val="0064294D"/>
    <w:rsid w:val="00644A66"/>
    <w:rsid w:val="0065279F"/>
    <w:rsid w:val="00652A77"/>
    <w:rsid w:val="00655286"/>
    <w:rsid w:val="00655858"/>
    <w:rsid w:val="006616A2"/>
    <w:rsid w:val="006617F8"/>
    <w:rsid w:val="00661F01"/>
    <w:rsid w:val="00664541"/>
    <w:rsid w:val="00664571"/>
    <w:rsid w:val="00664FB6"/>
    <w:rsid w:val="00665410"/>
    <w:rsid w:val="00666507"/>
    <w:rsid w:val="00667FC8"/>
    <w:rsid w:val="0066F50C"/>
    <w:rsid w:val="00671411"/>
    <w:rsid w:val="006717BD"/>
    <w:rsid w:val="00671CE3"/>
    <w:rsid w:val="00673530"/>
    <w:rsid w:val="006745F4"/>
    <w:rsid w:val="006759C8"/>
    <w:rsid w:val="0067653F"/>
    <w:rsid w:val="00676917"/>
    <w:rsid w:val="00676F13"/>
    <w:rsid w:val="00676F91"/>
    <w:rsid w:val="0067704B"/>
    <w:rsid w:val="0067799B"/>
    <w:rsid w:val="006806C4"/>
    <w:rsid w:val="00680722"/>
    <w:rsid w:val="00680BC7"/>
    <w:rsid w:val="006839D0"/>
    <w:rsid w:val="006854A2"/>
    <w:rsid w:val="00685571"/>
    <w:rsid w:val="00685B3D"/>
    <w:rsid w:val="00686E86"/>
    <w:rsid w:val="00686EDC"/>
    <w:rsid w:val="00687D36"/>
    <w:rsid w:val="00690D19"/>
    <w:rsid w:val="006915DA"/>
    <w:rsid w:val="00692373"/>
    <w:rsid w:val="006936A6"/>
    <w:rsid w:val="00693F8A"/>
    <w:rsid w:val="0069515E"/>
    <w:rsid w:val="006A1109"/>
    <w:rsid w:val="006A156B"/>
    <w:rsid w:val="006A4267"/>
    <w:rsid w:val="006A6D73"/>
    <w:rsid w:val="006B2D7A"/>
    <w:rsid w:val="006B4985"/>
    <w:rsid w:val="006B5532"/>
    <w:rsid w:val="006B5940"/>
    <w:rsid w:val="006B7772"/>
    <w:rsid w:val="006B7888"/>
    <w:rsid w:val="006C1A6A"/>
    <w:rsid w:val="006C5B18"/>
    <w:rsid w:val="006C6B8C"/>
    <w:rsid w:val="006C7CBC"/>
    <w:rsid w:val="006D1130"/>
    <w:rsid w:val="006D2803"/>
    <w:rsid w:val="006D3413"/>
    <w:rsid w:val="006D6205"/>
    <w:rsid w:val="006D626F"/>
    <w:rsid w:val="006D6EE4"/>
    <w:rsid w:val="006E043B"/>
    <w:rsid w:val="006E17A0"/>
    <w:rsid w:val="006E2834"/>
    <w:rsid w:val="006E40F8"/>
    <w:rsid w:val="006E4532"/>
    <w:rsid w:val="006E4BDE"/>
    <w:rsid w:val="006E5B86"/>
    <w:rsid w:val="006E61B6"/>
    <w:rsid w:val="006E635E"/>
    <w:rsid w:val="006E6CBF"/>
    <w:rsid w:val="006E73EC"/>
    <w:rsid w:val="006E78AB"/>
    <w:rsid w:val="006F0635"/>
    <w:rsid w:val="006F1049"/>
    <w:rsid w:val="006F271C"/>
    <w:rsid w:val="006F3BE4"/>
    <w:rsid w:val="006F4B73"/>
    <w:rsid w:val="006F4C10"/>
    <w:rsid w:val="006F52F9"/>
    <w:rsid w:val="006F795E"/>
    <w:rsid w:val="006F7DB4"/>
    <w:rsid w:val="00700008"/>
    <w:rsid w:val="0070029A"/>
    <w:rsid w:val="007006D9"/>
    <w:rsid w:val="007008BE"/>
    <w:rsid w:val="007008DE"/>
    <w:rsid w:val="0070117D"/>
    <w:rsid w:val="0070169D"/>
    <w:rsid w:val="0070191F"/>
    <w:rsid w:val="00703131"/>
    <w:rsid w:val="00704090"/>
    <w:rsid w:val="00705C57"/>
    <w:rsid w:val="0070600B"/>
    <w:rsid w:val="007070D3"/>
    <w:rsid w:val="007115B2"/>
    <w:rsid w:val="00712E02"/>
    <w:rsid w:val="007133A6"/>
    <w:rsid w:val="00714AE4"/>
    <w:rsid w:val="00714C8C"/>
    <w:rsid w:val="00715227"/>
    <w:rsid w:val="007156A6"/>
    <w:rsid w:val="00716D87"/>
    <w:rsid w:val="0071714C"/>
    <w:rsid w:val="00717416"/>
    <w:rsid w:val="00717A61"/>
    <w:rsid w:val="00720298"/>
    <w:rsid w:val="00720991"/>
    <w:rsid w:val="00720DD7"/>
    <w:rsid w:val="0072118B"/>
    <w:rsid w:val="00723257"/>
    <w:rsid w:val="007237D4"/>
    <w:rsid w:val="00723E4A"/>
    <w:rsid w:val="0072403E"/>
    <w:rsid w:val="00725D6D"/>
    <w:rsid w:val="00726370"/>
    <w:rsid w:val="007307FD"/>
    <w:rsid w:val="00732237"/>
    <w:rsid w:val="007330A9"/>
    <w:rsid w:val="00733867"/>
    <w:rsid w:val="0073389D"/>
    <w:rsid w:val="00733E92"/>
    <w:rsid w:val="00734F65"/>
    <w:rsid w:val="007369FE"/>
    <w:rsid w:val="0074012F"/>
    <w:rsid w:val="00741374"/>
    <w:rsid w:val="00741BBF"/>
    <w:rsid w:val="00741CC5"/>
    <w:rsid w:val="007421A9"/>
    <w:rsid w:val="0074461B"/>
    <w:rsid w:val="007449C6"/>
    <w:rsid w:val="00745C20"/>
    <w:rsid w:val="00747F08"/>
    <w:rsid w:val="00752034"/>
    <w:rsid w:val="00753FCD"/>
    <w:rsid w:val="00754E62"/>
    <w:rsid w:val="0075663E"/>
    <w:rsid w:val="00756EF2"/>
    <w:rsid w:val="00756F98"/>
    <w:rsid w:val="0075741A"/>
    <w:rsid w:val="00757D1F"/>
    <w:rsid w:val="0076162B"/>
    <w:rsid w:val="00761CEB"/>
    <w:rsid w:val="00763B91"/>
    <w:rsid w:val="00765157"/>
    <w:rsid w:val="00765B3E"/>
    <w:rsid w:val="00766F8B"/>
    <w:rsid w:val="0076AFF4"/>
    <w:rsid w:val="007711F0"/>
    <w:rsid w:val="0077134F"/>
    <w:rsid w:val="00771A88"/>
    <w:rsid w:val="00773141"/>
    <w:rsid w:val="007742E7"/>
    <w:rsid w:val="00774855"/>
    <w:rsid w:val="00776055"/>
    <w:rsid w:val="00776579"/>
    <w:rsid w:val="00777452"/>
    <w:rsid w:val="00780045"/>
    <w:rsid w:val="00780177"/>
    <w:rsid w:val="00780384"/>
    <w:rsid w:val="0078128D"/>
    <w:rsid w:val="00781687"/>
    <w:rsid w:val="00781991"/>
    <w:rsid w:val="007847FC"/>
    <w:rsid w:val="00785ADE"/>
    <w:rsid w:val="00787AA0"/>
    <w:rsid w:val="00787E13"/>
    <w:rsid w:val="00790E77"/>
    <w:rsid w:val="00791471"/>
    <w:rsid w:val="007925A9"/>
    <w:rsid w:val="007926B4"/>
    <w:rsid w:val="007928F9"/>
    <w:rsid w:val="00792F3B"/>
    <w:rsid w:val="00793CFD"/>
    <w:rsid w:val="00794B1C"/>
    <w:rsid w:val="007958A0"/>
    <w:rsid w:val="00795B58"/>
    <w:rsid w:val="007A1EFC"/>
    <w:rsid w:val="007A2BBA"/>
    <w:rsid w:val="007A39A6"/>
    <w:rsid w:val="007A437A"/>
    <w:rsid w:val="007A5827"/>
    <w:rsid w:val="007A588B"/>
    <w:rsid w:val="007A62CB"/>
    <w:rsid w:val="007B17DF"/>
    <w:rsid w:val="007B4160"/>
    <w:rsid w:val="007B53F4"/>
    <w:rsid w:val="007B58CD"/>
    <w:rsid w:val="007B5B09"/>
    <w:rsid w:val="007B62AE"/>
    <w:rsid w:val="007B6969"/>
    <w:rsid w:val="007B6EBA"/>
    <w:rsid w:val="007C082E"/>
    <w:rsid w:val="007C1E97"/>
    <w:rsid w:val="007C3087"/>
    <w:rsid w:val="007C3C2D"/>
    <w:rsid w:val="007C6556"/>
    <w:rsid w:val="007C6663"/>
    <w:rsid w:val="007C6C09"/>
    <w:rsid w:val="007C6C74"/>
    <w:rsid w:val="007D11DB"/>
    <w:rsid w:val="007D12EB"/>
    <w:rsid w:val="007D28E9"/>
    <w:rsid w:val="007D33C2"/>
    <w:rsid w:val="007D5881"/>
    <w:rsid w:val="007D60A4"/>
    <w:rsid w:val="007D64B8"/>
    <w:rsid w:val="007DE500"/>
    <w:rsid w:val="007E0133"/>
    <w:rsid w:val="007E02D6"/>
    <w:rsid w:val="007E0888"/>
    <w:rsid w:val="007E0A0E"/>
    <w:rsid w:val="007E101D"/>
    <w:rsid w:val="007E19FB"/>
    <w:rsid w:val="007E2482"/>
    <w:rsid w:val="007E2B1D"/>
    <w:rsid w:val="007E4CA7"/>
    <w:rsid w:val="007E5A81"/>
    <w:rsid w:val="007E5B04"/>
    <w:rsid w:val="007E5D72"/>
    <w:rsid w:val="007E61A5"/>
    <w:rsid w:val="007E66F7"/>
    <w:rsid w:val="007E6F5F"/>
    <w:rsid w:val="007E6FAF"/>
    <w:rsid w:val="007F037D"/>
    <w:rsid w:val="007F0C9B"/>
    <w:rsid w:val="007F22D9"/>
    <w:rsid w:val="007F24AD"/>
    <w:rsid w:val="007F2E6D"/>
    <w:rsid w:val="007F3566"/>
    <w:rsid w:val="007F3ADF"/>
    <w:rsid w:val="007F3DD0"/>
    <w:rsid w:val="007F3DD9"/>
    <w:rsid w:val="007F4127"/>
    <w:rsid w:val="007F47C2"/>
    <w:rsid w:val="007F4B2E"/>
    <w:rsid w:val="008003D0"/>
    <w:rsid w:val="0080083D"/>
    <w:rsid w:val="00800FB2"/>
    <w:rsid w:val="008019EF"/>
    <w:rsid w:val="0080206F"/>
    <w:rsid w:val="00802234"/>
    <w:rsid w:val="008024BA"/>
    <w:rsid w:val="0080255A"/>
    <w:rsid w:val="00804789"/>
    <w:rsid w:val="0080507B"/>
    <w:rsid w:val="00805540"/>
    <w:rsid w:val="00811768"/>
    <w:rsid w:val="00811CD4"/>
    <w:rsid w:val="00811F0D"/>
    <w:rsid w:val="00812AF4"/>
    <w:rsid w:val="00814BA5"/>
    <w:rsid w:val="0081678B"/>
    <w:rsid w:val="00816A46"/>
    <w:rsid w:val="00817748"/>
    <w:rsid w:val="00817D0A"/>
    <w:rsid w:val="008201CB"/>
    <w:rsid w:val="00820322"/>
    <w:rsid w:val="00821B3A"/>
    <w:rsid w:val="00822801"/>
    <w:rsid w:val="00822AA7"/>
    <w:rsid w:val="008231D5"/>
    <w:rsid w:val="008236E1"/>
    <w:rsid w:val="0082443C"/>
    <w:rsid w:val="0082445B"/>
    <w:rsid w:val="00825411"/>
    <w:rsid w:val="00825745"/>
    <w:rsid w:val="0082588C"/>
    <w:rsid w:val="00826159"/>
    <w:rsid w:val="00826ED9"/>
    <w:rsid w:val="008276D0"/>
    <w:rsid w:val="008311FF"/>
    <w:rsid w:val="00831EDA"/>
    <w:rsid w:val="00832936"/>
    <w:rsid w:val="00834BEB"/>
    <w:rsid w:val="00834D81"/>
    <w:rsid w:val="00836C68"/>
    <w:rsid w:val="00836F06"/>
    <w:rsid w:val="00840CF6"/>
    <w:rsid w:val="008427B3"/>
    <w:rsid w:val="00842A02"/>
    <w:rsid w:val="0084412E"/>
    <w:rsid w:val="00845E09"/>
    <w:rsid w:val="00845EE3"/>
    <w:rsid w:val="008470D5"/>
    <w:rsid w:val="00851AE1"/>
    <w:rsid w:val="00853022"/>
    <w:rsid w:val="008553A7"/>
    <w:rsid w:val="008556B1"/>
    <w:rsid w:val="00855A30"/>
    <w:rsid w:val="00855F15"/>
    <w:rsid w:val="00861355"/>
    <w:rsid w:val="0086185C"/>
    <w:rsid w:val="00862D16"/>
    <w:rsid w:val="00863C20"/>
    <w:rsid w:val="00864237"/>
    <w:rsid w:val="008671BD"/>
    <w:rsid w:val="008674E1"/>
    <w:rsid w:val="00870CC9"/>
    <w:rsid w:val="008719E6"/>
    <w:rsid w:val="00871A79"/>
    <w:rsid w:val="00872A83"/>
    <w:rsid w:val="008739F6"/>
    <w:rsid w:val="00873D49"/>
    <w:rsid w:val="00875EDB"/>
    <w:rsid w:val="00876706"/>
    <w:rsid w:val="00877D58"/>
    <w:rsid w:val="008803AB"/>
    <w:rsid w:val="008818CE"/>
    <w:rsid w:val="00882114"/>
    <w:rsid w:val="0088488C"/>
    <w:rsid w:val="008870D6"/>
    <w:rsid w:val="00892398"/>
    <w:rsid w:val="00892AEE"/>
    <w:rsid w:val="00892E04"/>
    <w:rsid w:val="00894076"/>
    <w:rsid w:val="008942EB"/>
    <w:rsid w:val="00895EEE"/>
    <w:rsid w:val="00896886"/>
    <w:rsid w:val="008969FA"/>
    <w:rsid w:val="0089722E"/>
    <w:rsid w:val="00897E83"/>
    <w:rsid w:val="008A075F"/>
    <w:rsid w:val="008A1DD8"/>
    <w:rsid w:val="008A25AA"/>
    <w:rsid w:val="008A2CFB"/>
    <w:rsid w:val="008A5D64"/>
    <w:rsid w:val="008A616E"/>
    <w:rsid w:val="008A6681"/>
    <w:rsid w:val="008B0311"/>
    <w:rsid w:val="008B0FFC"/>
    <w:rsid w:val="008B1FB2"/>
    <w:rsid w:val="008B4812"/>
    <w:rsid w:val="008B59F3"/>
    <w:rsid w:val="008B5A9A"/>
    <w:rsid w:val="008B66C8"/>
    <w:rsid w:val="008B66F4"/>
    <w:rsid w:val="008B7939"/>
    <w:rsid w:val="008B7A06"/>
    <w:rsid w:val="008C1F71"/>
    <w:rsid w:val="008C2E99"/>
    <w:rsid w:val="008C2FE4"/>
    <w:rsid w:val="008C3A63"/>
    <w:rsid w:val="008C4FA5"/>
    <w:rsid w:val="008C57A9"/>
    <w:rsid w:val="008C62E6"/>
    <w:rsid w:val="008C78B3"/>
    <w:rsid w:val="008C7E7B"/>
    <w:rsid w:val="008D0ACA"/>
    <w:rsid w:val="008D10F5"/>
    <w:rsid w:val="008D1763"/>
    <w:rsid w:val="008D420B"/>
    <w:rsid w:val="008D4292"/>
    <w:rsid w:val="008D4853"/>
    <w:rsid w:val="008D51A5"/>
    <w:rsid w:val="008D51C7"/>
    <w:rsid w:val="008D5533"/>
    <w:rsid w:val="008D73AB"/>
    <w:rsid w:val="008E01B3"/>
    <w:rsid w:val="008E048F"/>
    <w:rsid w:val="008E0A19"/>
    <w:rsid w:val="008E2E78"/>
    <w:rsid w:val="008E3E6A"/>
    <w:rsid w:val="008E41CB"/>
    <w:rsid w:val="008E6469"/>
    <w:rsid w:val="008E646C"/>
    <w:rsid w:val="008E7D98"/>
    <w:rsid w:val="008F276B"/>
    <w:rsid w:val="008F44BD"/>
    <w:rsid w:val="008F46B2"/>
    <w:rsid w:val="008F5BBC"/>
    <w:rsid w:val="008F5E54"/>
    <w:rsid w:val="008F6037"/>
    <w:rsid w:val="008F66F5"/>
    <w:rsid w:val="008F7D5F"/>
    <w:rsid w:val="009002A6"/>
    <w:rsid w:val="00900903"/>
    <w:rsid w:val="00904440"/>
    <w:rsid w:val="00905560"/>
    <w:rsid w:val="009056D4"/>
    <w:rsid w:val="00905862"/>
    <w:rsid w:val="00905939"/>
    <w:rsid w:val="00905C7C"/>
    <w:rsid w:val="00911673"/>
    <w:rsid w:val="00911A5F"/>
    <w:rsid w:val="00912462"/>
    <w:rsid w:val="009145CF"/>
    <w:rsid w:val="00915317"/>
    <w:rsid w:val="0092081F"/>
    <w:rsid w:val="009210A4"/>
    <w:rsid w:val="00921AE6"/>
    <w:rsid w:val="009231CF"/>
    <w:rsid w:val="00923C67"/>
    <w:rsid w:val="009241A7"/>
    <w:rsid w:val="00924234"/>
    <w:rsid w:val="009244F9"/>
    <w:rsid w:val="00924CE7"/>
    <w:rsid w:val="00924EC6"/>
    <w:rsid w:val="00925A79"/>
    <w:rsid w:val="009265BB"/>
    <w:rsid w:val="00927404"/>
    <w:rsid w:val="00927BD4"/>
    <w:rsid w:val="00931DF8"/>
    <w:rsid w:val="00933945"/>
    <w:rsid w:val="009349B3"/>
    <w:rsid w:val="00935419"/>
    <w:rsid w:val="00936D04"/>
    <w:rsid w:val="00937091"/>
    <w:rsid w:val="0093781E"/>
    <w:rsid w:val="00937DCD"/>
    <w:rsid w:val="0094070B"/>
    <w:rsid w:val="00940841"/>
    <w:rsid w:val="0094102E"/>
    <w:rsid w:val="0094207B"/>
    <w:rsid w:val="009438BB"/>
    <w:rsid w:val="00944ED9"/>
    <w:rsid w:val="0094676D"/>
    <w:rsid w:val="0094752F"/>
    <w:rsid w:val="00947E90"/>
    <w:rsid w:val="009506EF"/>
    <w:rsid w:val="0095132C"/>
    <w:rsid w:val="00951885"/>
    <w:rsid w:val="009545B7"/>
    <w:rsid w:val="00960961"/>
    <w:rsid w:val="00962562"/>
    <w:rsid w:val="00962F6D"/>
    <w:rsid w:val="009634A5"/>
    <w:rsid w:val="00964C61"/>
    <w:rsid w:val="009664D6"/>
    <w:rsid w:val="00967524"/>
    <w:rsid w:val="00967B4B"/>
    <w:rsid w:val="0097239C"/>
    <w:rsid w:val="00973AD3"/>
    <w:rsid w:val="0097634B"/>
    <w:rsid w:val="00980F15"/>
    <w:rsid w:val="00982E03"/>
    <w:rsid w:val="00982F46"/>
    <w:rsid w:val="00984B3D"/>
    <w:rsid w:val="00985582"/>
    <w:rsid w:val="00986161"/>
    <w:rsid w:val="009869CE"/>
    <w:rsid w:val="00986ADF"/>
    <w:rsid w:val="00986C85"/>
    <w:rsid w:val="00987CA8"/>
    <w:rsid w:val="00992836"/>
    <w:rsid w:val="00992CAC"/>
    <w:rsid w:val="00992F6D"/>
    <w:rsid w:val="0099316A"/>
    <w:rsid w:val="00993233"/>
    <w:rsid w:val="00993DE8"/>
    <w:rsid w:val="00994461"/>
    <w:rsid w:val="009A0898"/>
    <w:rsid w:val="009A0E0E"/>
    <w:rsid w:val="009A0E21"/>
    <w:rsid w:val="009A174D"/>
    <w:rsid w:val="009A3B77"/>
    <w:rsid w:val="009A3C38"/>
    <w:rsid w:val="009A3E43"/>
    <w:rsid w:val="009A52D6"/>
    <w:rsid w:val="009A5AEF"/>
    <w:rsid w:val="009A5BA3"/>
    <w:rsid w:val="009A5E8B"/>
    <w:rsid w:val="009A646E"/>
    <w:rsid w:val="009B256F"/>
    <w:rsid w:val="009B3FC6"/>
    <w:rsid w:val="009B50C6"/>
    <w:rsid w:val="009B5241"/>
    <w:rsid w:val="009B6A18"/>
    <w:rsid w:val="009C193C"/>
    <w:rsid w:val="009C1C94"/>
    <w:rsid w:val="009C576C"/>
    <w:rsid w:val="009C6C52"/>
    <w:rsid w:val="009C7F4E"/>
    <w:rsid w:val="009D1CE5"/>
    <w:rsid w:val="009D2019"/>
    <w:rsid w:val="009D2275"/>
    <w:rsid w:val="009D25BF"/>
    <w:rsid w:val="009D4ACA"/>
    <w:rsid w:val="009D68BE"/>
    <w:rsid w:val="009D7958"/>
    <w:rsid w:val="009D7BB8"/>
    <w:rsid w:val="009E182D"/>
    <w:rsid w:val="009E3454"/>
    <w:rsid w:val="009E3584"/>
    <w:rsid w:val="009E47D0"/>
    <w:rsid w:val="009E4A73"/>
    <w:rsid w:val="009E4E63"/>
    <w:rsid w:val="009E6432"/>
    <w:rsid w:val="009E7F6E"/>
    <w:rsid w:val="009F031C"/>
    <w:rsid w:val="009F2657"/>
    <w:rsid w:val="009F2E0B"/>
    <w:rsid w:val="009F46FE"/>
    <w:rsid w:val="009F6550"/>
    <w:rsid w:val="009F6672"/>
    <w:rsid w:val="009F7322"/>
    <w:rsid w:val="009F76A3"/>
    <w:rsid w:val="009F7AE0"/>
    <w:rsid w:val="00A01769"/>
    <w:rsid w:val="00A04611"/>
    <w:rsid w:val="00A046F8"/>
    <w:rsid w:val="00A04CEE"/>
    <w:rsid w:val="00A05234"/>
    <w:rsid w:val="00A06C3E"/>
    <w:rsid w:val="00A06D5A"/>
    <w:rsid w:val="00A07CD3"/>
    <w:rsid w:val="00A07F78"/>
    <w:rsid w:val="00A10736"/>
    <w:rsid w:val="00A11719"/>
    <w:rsid w:val="00A11817"/>
    <w:rsid w:val="00A12079"/>
    <w:rsid w:val="00A121F9"/>
    <w:rsid w:val="00A13220"/>
    <w:rsid w:val="00A13C27"/>
    <w:rsid w:val="00A14888"/>
    <w:rsid w:val="00A149B3"/>
    <w:rsid w:val="00A14B5B"/>
    <w:rsid w:val="00A161FB"/>
    <w:rsid w:val="00A16A84"/>
    <w:rsid w:val="00A17D6F"/>
    <w:rsid w:val="00A17ECB"/>
    <w:rsid w:val="00A21AD5"/>
    <w:rsid w:val="00A226C0"/>
    <w:rsid w:val="00A22B09"/>
    <w:rsid w:val="00A23F9F"/>
    <w:rsid w:val="00A254BD"/>
    <w:rsid w:val="00A26DC0"/>
    <w:rsid w:val="00A26ECF"/>
    <w:rsid w:val="00A27ECB"/>
    <w:rsid w:val="00A31B46"/>
    <w:rsid w:val="00A32BA0"/>
    <w:rsid w:val="00A33E49"/>
    <w:rsid w:val="00A35995"/>
    <w:rsid w:val="00A40010"/>
    <w:rsid w:val="00A4085C"/>
    <w:rsid w:val="00A40F11"/>
    <w:rsid w:val="00A41E2E"/>
    <w:rsid w:val="00A42257"/>
    <w:rsid w:val="00A4230E"/>
    <w:rsid w:val="00A4240D"/>
    <w:rsid w:val="00A432E9"/>
    <w:rsid w:val="00A44678"/>
    <w:rsid w:val="00A451B6"/>
    <w:rsid w:val="00A46913"/>
    <w:rsid w:val="00A47383"/>
    <w:rsid w:val="00A51D79"/>
    <w:rsid w:val="00A5307F"/>
    <w:rsid w:val="00A53CAF"/>
    <w:rsid w:val="00A53CB6"/>
    <w:rsid w:val="00A54D9C"/>
    <w:rsid w:val="00A560E1"/>
    <w:rsid w:val="00A56B8B"/>
    <w:rsid w:val="00A56DD0"/>
    <w:rsid w:val="00A56EA2"/>
    <w:rsid w:val="00A56F42"/>
    <w:rsid w:val="00A57A7A"/>
    <w:rsid w:val="00A6188B"/>
    <w:rsid w:val="00A633DB"/>
    <w:rsid w:val="00A63AE9"/>
    <w:rsid w:val="00A640C6"/>
    <w:rsid w:val="00A64C9B"/>
    <w:rsid w:val="00A65D8D"/>
    <w:rsid w:val="00A66378"/>
    <w:rsid w:val="00A668E6"/>
    <w:rsid w:val="00A67075"/>
    <w:rsid w:val="00A7014E"/>
    <w:rsid w:val="00A7027A"/>
    <w:rsid w:val="00A70640"/>
    <w:rsid w:val="00A72225"/>
    <w:rsid w:val="00A74AFF"/>
    <w:rsid w:val="00A74BDE"/>
    <w:rsid w:val="00A75B92"/>
    <w:rsid w:val="00A779AA"/>
    <w:rsid w:val="00A814CB"/>
    <w:rsid w:val="00A82ACF"/>
    <w:rsid w:val="00A82BA7"/>
    <w:rsid w:val="00A8394B"/>
    <w:rsid w:val="00A83B3E"/>
    <w:rsid w:val="00A83E6E"/>
    <w:rsid w:val="00A83F3E"/>
    <w:rsid w:val="00A83FCB"/>
    <w:rsid w:val="00A84EFD"/>
    <w:rsid w:val="00A90252"/>
    <w:rsid w:val="00A9112D"/>
    <w:rsid w:val="00A915AF"/>
    <w:rsid w:val="00A9290B"/>
    <w:rsid w:val="00A92B11"/>
    <w:rsid w:val="00A92D1C"/>
    <w:rsid w:val="00A92E07"/>
    <w:rsid w:val="00A931E3"/>
    <w:rsid w:val="00A93312"/>
    <w:rsid w:val="00A93D4A"/>
    <w:rsid w:val="00A945F7"/>
    <w:rsid w:val="00A94AC2"/>
    <w:rsid w:val="00A951FC"/>
    <w:rsid w:val="00A95EED"/>
    <w:rsid w:val="00A964C1"/>
    <w:rsid w:val="00A964CB"/>
    <w:rsid w:val="00AA0856"/>
    <w:rsid w:val="00AA0A81"/>
    <w:rsid w:val="00AA39C1"/>
    <w:rsid w:val="00AA3AB2"/>
    <w:rsid w:val="00AA3E7E"/>
    <w:rsid w:val="00AA45DF"/>
    <w:rsid w:val="00AA4968"/>
    <w:rsid w:val="00AA5785"/>
    <w:rsid w:val="00AA58D0"/>
    <w:rsid w:val="00AA5C1C"/>
    <w:rsid w:val="00AA62CD"/>
    <w:rsid w:val="00AA7DC6"/>
    <w:rsid w:val="00AB0F4B"/>
    <w:rsid w:val="00AB1ECA"/>
    <w:rsid w:val="00AB2101"/>
    <w:rsid w:val="00AB2571"/>
    <w:rsid w:val="00AB5EC9"/>
    <w:rsid w:val="00AB6997"/>
    <w:rsid w:val="00AB7033"/>
    <w:rsid w:val="00AB7227"/>
    <w:rsid w:val="00AC137E"/>
    <w:rsid w:val="00AC1E31"/>
    <w:rsid w:val="00AC2982"/>
    <w:rsid w:val="00AC2F4C"/>
    <w:rsid w:val="00AC2FE0"/>
    <w:rsid w:val="00AC3B74"/>
    <w:rsid w:val="00AC4701"/>
    <w:rsid w:val="00AC4F6A"/>
    <w:rsid w:val="00AC6804"/>
    <w:rsid w:val="00AC698E"/>
    <w:rsid w:val="00AC77B3"/>
    <w:rsid w:val="00AC7AF4"/>
    <w:rsid w:val="00ACC066"/>
    <w:rsid w:val="00AD1CDF"/>
    <w:rsid w:val="00AD3184"/>
    <w:rsid w:val="00AD6201"/>
    <w:rsid w:val="00AD77C2"/>
    <w:rsid w:val="00AD7F56"/>
    <w:rsid w:val="00AE2A17"/>
    <w:rsid w:val="00AE30DB"/>
    <w:rsid w:val="00AE32D7"/>
    <w:rsid w:val="00AE3D85"/>
    <w:rsid w:val="00AE59C6"/>
    <w:rsid w:val="00AE5A58"/>
    <w:rsid w:val="00AE7B84"/>
    <w:rsid w:val="00AE7F93"/>
    <w:rsid w:val="00AF05C7"/>
    <w:rsid w:val="00AF117F"/>
    <w:rsid w:val="00AF11B8"/>
    <w:rsid w:val="00AF1232"/>
    <w:rsid w:val="00AF2CAE"/>
    <w:rsid w:val="00AF418D"/>
    <w:rsid w:val="00AF43B9"/>
    <w:rsid w:val="00AF53A5"/>
    <w:rsid w:val="00AF74AB"/>
    <w:rsid w:val="00B00204"/>
    <w:rsid w:val="00B002A7"/>
    <w:rsid w:val="00B02B23"/>
    <w:rsid w:val="00B035FE"/>
    <w:rsid w:val="00B051A4"/>
    <w:rsid w:val="00B05C9C"/>
    <w:rsid w:val="00B0690C"/>
    <w:rsid w:val="00B1018F"/>
    <w:rsid w:val="00B10DD1"/>
    <w:rsid w:val="00B10F25"/>
    <w:rsid w:val="00B12386"/>
    <w:rsid w:val="00B13079"/>
    <w:rsid w:val="00B14163"/>
    <w:rsid w:val="00B143B4"/>
    <w:rsid w:val="00B153D5"/>
    <w:rsid w:val="00B1744E"/>
    <w:rsid w:val="00B1756D"/>
    <w:rsid w:val="00B2118A"/>
    <w:rsid w:val="00B22D3A"/>
    <w:rsid w:val="00B231ED"/>
    <w:rsid w:val="00B23F0D"/>
    <w:rsid w:val="00B25945"/>
    <w:rsid w:val="00B277F5"/>
    <w:rsid w:val="00B300A7"/>
    <w:rsid w:val="00B3077E"/>
    <w:rsid w:val="00B30D8A"/>
    <w:rsid w:val="00B348D0"/>
    <w:rsid w:val="00B35CFF"/>
    <w:rsid w:val="00B3671C"/>
    <w:rsid w:val="00B36C83"/>
    <w:rsid w:val="00B37170"/>
    <w:rsid w:val="00B3799E"/>
    <w:rsid w:val="00B414A6"/>
    <w:rsid w:val="00B41E6A"/>
    <w:rsid w:val="00B422DE"/>
    <w:rsid w:val="00B4252C"/>
    <w:rsid w:val="00B42730"/>
    <w:rsid w:val="00B46EAB"/>
    <w:rsid w:val="00B46FA3"/>
    <w:rsid w:val="00B47A64"/>
    <w:rsid w:val="00B47D86"/>
    <w:rsid w:val="00B504E7"/>
    <w:rsid w:val="00B523E9"/>
    <w:rsid w:val="00B5288B"/>
    <w:rsid w:val="00B53853"/>
    <w:rsid w:val="00B53AB3"/>
    <w:rsid w:val="00B562FA"/>
    <w:rsid w:val="00B603C0"/>
    <w:rsid w:val="00B61601"/>
    <w:rsid w:val="00B61E1F"/>
    <w:rsid w:val="00B62B78"/>
    <w:rsid w:val="00B642EC"/>
    <w:rsid w:val="00B65FE1"/>
    <w:rsid w:val="00B6612E"/>
    <w:rsid w:val="00B67BF7"/>
    <w:rsid w:val="00B70267"/>
    <w:rsid w:val="00B72B12"/>
    <w:rsid w:val="00B741D1"/>
    <w:rsid w:val="00B75D14"/>
    <w:rsid w:val="00B766DD"/>
    <w:rsid w:val="00B77164"/>
    <w:rsid w:val="00B77B9F"/>
    <w:rsid w:val="00B77D0D"/>
    <w:rsid w:val="00B77E20"/>
    <w:rsid w:val="00B804BC"/>
    <w:rsid w:val="00B82531"/>
    <w:rsid w:val="00B82CC7"/>
    <w:rsid w:val="00B8385B"/>
    <w:rsid w:val="00B85BE0"/>
    <w:rsid w:val="00B87FEA"/>
    <w:rsid w:val="00B91F65"/>
    <w:rsid w:val="00B93A37"/>
    <w:rsid w:val="00B9479F"/>
    <w:rsid w:val="00B95707"/>
    <w:rsid w:val="00B95740"/>
    <w:rsid w:val="00B97FF3"/>
    <w:rsid w:val="00BA0160"/>
    <w:rsid w:val="00BA0D64"/>
    <w:rsid w:val="00BA194A"/>
    <w:rsid w:val="00BA19B8"/>
    <w:rsid w:val="00BA6C76"/>
    <w:rsid w:val="00BB1964"/>
    <w:rsid w:val="00BB2854"/>
    <w:rsid w:val="00BB2C0A"/>
    <w:rsid w:val="00BB3738"/>
    <w:rsid w:val="00BB3A07"/>
    <w:rsid w:val="00BB3AA5"/>
    <w:rsid w:val="00BB4FF4"/>
    <w:rsid w:val="00BC0324"/>
    <w:rsid w:val="00BC2485"/>
    <w:rsid w:val="00BC24B9"/>
    <w:rsid w:val="00BC3535"/>
    <w:rsid w:val="00BC4C09"/>
    <w:rsid w:val="00BC7D9E"/>
    <w:rsid w:val="00BD09F0"/>
    <w:rsid w:val="00BD0DF1"/>
    <w:rsid w:val="00BD107E"/>
    <w:rsid w:val="00BD2364"/>
    <w:rsid w:val="00BD414F"/>
    <w:rsid w:val="00BD41A4"/>
    <w:rsid w:val="00BD58EA"/>
    <w:rsid w:val="00BD5FA6"/>
    <w:rsid w:val="00BD670A"/>
    <w:rsid w:val="00BD7995"/>
    <w:rsid w:val="00BE144D"/>
    <w:rsid w:val="00BE2858"/>
    <w:rsid w:val="00BE35BE"/>
    <w:rsid w:val="00BE38D2"/>
    <w:rsid w:val="00BE4112"/>
    <w:rsid w:val="00BE44C3"/>
    <w:rsid w:val="00BE44F2"/>
    <w:rsid w:val="00BE48C7"/>
    <w:rsid w:val="00BE5D71"/>
    <w:rsid w:val="00BE5E4E"/>
    <w:rsid w:val="00BE602E"/>
    <w:rsid w:val="00BE6CD0"/>
    <w:rsid w:val="00BE7726"/>
    <w:rsid w:val="00BF37A2"/>
    <w:rsid w:val="00BF3A8C"/>
    <w:rsid w:val="00BF3CD9"/>
    <w:rsid w:val="00BF5599"/>
    <w:rsid w:val="00BF6AE3"/>
    <w:rsid w:val="00BF6B99"/>
    <w:rsid w:val="00BF7AEC"/>
    <w:rsid w:val="00C02CF9"/>
    <w:rsid w:val="00C04112"/>
    <w:rsid w:val="00C0438D"/>
    <w:rsid w:val="00C048DF"/>
    <w:rsid w:val="00C04CD8"/>
    <w:rsid w:val="00C06000"/>
    <w:rsid w:val="00C07F44"/>
    <w:rsid w:val="00C12D26"/>
    <w:rsid w:val="00C13853"/>
    <w:rsid w:val="00C15872"/>
    <w:rsid w:val="00C15B41"/>
    <w:rsid w:val="00C228AE"/>
    <w:rsid w:val="00C24FC4"/>
    <w:rsid w:val="00C25117"/>
    <w:rsid w:val="00C25233"/>
    <w:rsid w:val="00C26021"/>
    <w:rsid w:val="00C2794D"/>
    <w:rsid w:val="00C305DD"/>
    <w:rsid w:val="00C306FC"/>
    <w:rsid w:val="00C31E5D"/>
    <w:rsid w:val="00C32AE7"/>
    <w:rsid w:val="00C32D03"/>
    <w:rsid w:val="00C32D5A"/>
    <w:rsid w:val="00C331F5"/>
    <w:rsid w:val="00C33699"/>
    <w:rsid w:val="00C34306"/>
    <w:rsid w:val="00C34B78"/>
    <w:rsid w:val="00C3515F"/>
    <w:rsid w:val="00C35258"/>
    <w:rsid w:val="00C35598"/>
    <w:rsid w:val="00C418C2"/>
    <w:rsid w:val="00C45D95"/>
    <w:rsid w:val="00C46243"/>
    <w:rsid w:val="00C46426"/>
    <w:rsid w:val="00C47F00"/>
    <w:rsid w:val="00C5085A"/>
    <w:rsid w:val="00C518A9"/>
    <w:rsid w:val="00C51AF6"/>
    <w:rsid w:val="00C5717A"/>
    <w:rsid w:val="00C574DA"/>
    <w:rsid w:val="00C60939"/>
    <w:rsid w:val="00C61A33"/>
    <w:rsid w:val="00C62A73"/>
    <w:rsid w:val="00C63974"/>
    <w:rsid w:val="00C6429A"/>
    <w:rsid w:val="00C642C7"/>
    <w:rsid w:val="00C64CCB"/>
    <w:rsid w:val="00C6571B"/>
    <w:rsid w:val="00C65D4D"/>
    <w:rsid w:val="00C66F6D"/>
    <w:rsid w:val="00C6706E"/>
    <w:rsid w:val="00C677BD"/>
    <w:rsid w:val="00C67D6B"/>
    <w:rsid w:val="00C704A1"/>
    <w:rsid w:val="00C70B50"/>
    <w:rsid w:val="00C70C5B"/>
    <w:rsid w:val="00C727B7"/>
    <w:rsid w:val="00C743C7"/>
    <w:rsid w:val="00C74D66"/>
    <w:rsid w:val="00C76887"/>
    <w:rsid w:val="00C77A7D"/>
    <w:rsid w:val="00C81302"/>
    <w:rsid w:val="00C81808"/>
    <w:rsid w:val="00C82559"/>
    <w:rsid w:val="00C8269B"/>
    <w:rsid w:val="00C82D39"/>
    <w:rsid w:val="00C84844"/>
    <w:rsid w:val="00C850D8"/>
    <w:rsid w:val="00C85B21"/>
    <w:rsid w:val="00C85B60"/>
    <w:rsid w:val="00C85D0B"/>
    <w:rsid w:val="00C86825"/>
    <w:rsid w:val="00C86B5F"/>
    <w:rsid w:val="00C9005D"/>
    <w:rsid w:val="00C958A2"/>
    <w:rsid w:val="00C972A2"/>
    <w:rsid w:val="00C97A03"/>
    <w:rsid w:val="00CA03CA"/>
    <w:rsid w:val="00CA05F5"/>
    <w:rsid w:val="00CA0A2F"/>
    <w:rsid w:val="00CA0C4E"/>
    <w:rsid w:val="00CA1204"/>
    <w:rsid w:val="00CA148C"/>
    <w:rsid w:val="00CA1EC0"/>
    <w:rsid w:val="00CA212F"/>
    <w:rsid w:val="00CA2AA1"/>
    <w:rsid w:val="00CA4772"/>
    <w:rsid w:val="00CB02C4"/>
    <w:rsid w:val="00CB0F6B"/>
    <w:rsid w:val="00CB1145"/>
    <w:rsid w:val="00CB1330"/>
    <w:rsid w:val="00CB2711"/>
    <w:rsid w:val="00CB2C07"/>
    <w:rsid w:val="00CB2FB8"/>
    <w:rsid w:val="00CB338C"/>
    <w:rsid w:val="00CB3CF6"/>
    <w:rsid w:val="00CB4220"/>
    <w:rsid w:val="00CB54F6"/>
    <w:rsid w:val="00CC0179"/>
    <w:rsid w:val="00CC01C4"/>
    <w:rsid w:val="00CC0884"/>
    <w:rsid w:val="00CC1B32"/>
    <w:rsid w:val="00CC1E50"/>
    <w:rsid w:val="00CC4C13"/>
    <w:rsid w:val="00CC5045"/>
    <w:rsid w:val="00CD18A6"/>
    <w:rsid w:val="00CD259A"/>
    <w:rsid w:val="00CD28FE"/>
    <w:rsid w:val="00CD367F"/>
    <w:rsid w:val="00CD3971"/>
    <w:rsid w:val="00CD481D"/>
    <w:rsid w:val="00CD4D12"/>
    <w:rsid w:val="00CD5632"/>
    <w:rsid w:val="00CD56EA"/>
    <w:rsid w:val="00CD6945"/>
    <w:rsid w:val="00CE1E7E"/>
    <w:rsid w:val="00CE2380"/>
    <w:rsid w:val="00CE3288"/>
    <w:rsid w:val="00CE4A0E"/>
    <w:rsid w:val="00CE4B59"/>
    <w:rsid w:val="00CE51F2"/>
    <w:rsid w:val="00CE6395"/>
    <w:rsid w:val="00CE6D45"/>
    <w:rsid w:val="00CF0D51"/>
    <w:rsid w:val="00CF181A"/>
    <w:rsid w:val="00CF1C62"/>
    <w:rsid w:val="00CF2C3A"/>
    <w:rsid w:val="00CF3F06"/>
    <w:rsid w:val="00CF7FAA"/>
    <w:rsid w:val="00D007FC"/>
    <w:rsid w:val="00D016C8"/>
    <w:rsid w:val="00D0171B"/>
    <w:rsid w:val="00D028D9"/>
    <w:rsid w:val="00D028DF"/>
    <w:rsid w:val="00D045BF"/>
    <w:rsid w:val="00D0469F"/>
    <w:rsid w:val="00D05102"/>
    <w:rsid w:val="00D0555A"/>
    <w:rsid w:val="00D10804"/>
    <w:rsid w:val="00D10C7D"/>
    <w:rsid w:val="00D13334"/>
    <w:rsid w:val="00D13BD9"/>
    <w:rsid w:val="00D14B27"/>
    <w:rsid w:val="00D14BBE"/>
    <w:rsid w:val="00D15146"/>
    <w:rsid w:val="00D15789"/>
    <w:rsid w:val="00D160F1"/>
    <w:rsid w:val="00D20613"/>
    <w:rsid w:val="00D209B7"/>
    <w:rsid w:val="00D219E5"/>
    <w:rsid w:val="00D235D8"/>
    <w:rsid w:val="00D25679"/>
    <w:rsid w:val="00D25F2A"/>
    <w:rsid w:val="00D26549"/>
    <w:rsid w:val="00D26CDA"/>
    <w:rsid w:val="00D271B5"/>
    <w:rsid w:val="00D27330"/>
    <w:rsid w:val="00D30BA5"/>
    <w:rsid w:val="00D30E96"/>
    <w:rsid w:val="00D31E88"/>
    <w:rsid w:val="00D32ADC"/>
    <w:rsid w:val="00D3382C"/>
    <w:rsid w:val="00D34799"/>
    <w:rsid w:val="00D3528B"/>
    <w:rsid w:val="00D35DB8"/>
    <w:rsid w:val="00D37697"/>
    <w:rsid w:val="00D41B26"/>
    <w:rsid w:val="00D41EFF"/>
    <w:rsid w:val="00D42498"/>
    <w:rsid w:val="00D42D60"/>
    <w:rsid w:val="00D42FC1"/>
    <w:rsid w:val="00D433C2"/>
    <w:rsid w:val="00D4343E"/>
    <w:rsid w:val="00D435D6"/>
    <w:rsid w:val="00D43759"/>
    <w:rsid w:val="00D43C11"/>
    <w:rsid w:val="00D43F00"/>
    <w:rsid w:val="00D44414"/>
    <w:rsid w:val="00D44510"/>
    <w:rsid w:val="00D447E1"/>
    <w:rsid w:val="00D44850"/>
    <w:rsid w:val="00D46E90"/>
    <w:rsid w:val="00D47F06"/>
    <w:rsid w:val="00D50BEB"/>
    <w:rsid w:val="00D5193A"/>
    <w:rsid w:val="00D52684"/>
    <w:rsid w:val="00D52F6E"/>
    <w:rsid w:val="00D54EE4"/>
    <w:rsid w:val="00D5640D"/>
    <w:rsid w:val="00D568AB"/>
    <w:rsid w:val="00D5735C"/>
    <w:rsid w:val="00D57D20"/>
    <w:rsid w:val="00D5FC26"/>
    <w:rsid w:val="00D604C5"/>
    <w:rsid w:val="00D61EA3"/>
    <w:rsid w:val="00D627D1"/>
    <w:rsid w:val="00D63EF3"/>
    <w:rsid w:val="00D65C88"/>
    <w:rsid w:val="00D70A52"/>
    <w:rsid w:val="00D71884"/>
    <w:rsid w:val="00D71D43"/>
    <w:rsid w:val="00D72298"/>
    <w:rsid w:val="00D728E3"/>
    <w:rsid w:val="00D73502"/>
    <w:rsid w:val="00D73B4D"/>
    <w:rsid w:val="00D73EA0"/>
    <w:rsid w:val="00D755E1"/>
    <w:rsid w:val="00D766E4"/>
    <w:rsid w:val="00D76B5C"/>
    <w:rsid w:val="00D774E1"/>
    <w:rsid w:val="00D77806"/>
    <w:rsid w:val="00D77BB6"/>
    <w:rsid w:val="00D8061C"/>
    <w:rsid w:val="00D809AE"/>
    <w:rsid w:val="00D81D56"/>
    <w:rsid w:val="00D825D0"/>
    <w:rsid w:val="00D82CA3"/>
    <w:rsid w:val="00D84201"/>
    <w:rsid w:val="00D866BC"/>
    <w:rsid w:val="00D86720"/>
    <w:rsid w:val="00D90BF8"/>
    <w:rsid w:val="00D91B01"/>
    <w:rsid w:val="00D92B69"/>
    <w:rsid w:val="00D93B0C"/>
    <w:rsid w:val="00D94699"/>
    <w:rsid w:val="00D94937"/>
    <w:rsid w:val="00D94C72"/>
    <w:rsid w:val="00D94EC2"/>
    <w:rsid w:val="00D95B02"/>
    <w:rsid w:val="00D95CA7"/>
    <w:rsid w:val="00D96AB1"/>
    <w:rsid w:val="00D972D8"/>
    <w:rsid w:val="00DA0484"/>
    <w:rsid w:val="00DA1043"/>
    <w:rsid w:val="00DA15BC"/>
    <w:rsid w:val="00DA1AB2"/>
    <w:rsid w:val="00DA1DE4"/>
    <w:rsid w:val="00DA21D4"/>
    <w:rsid w:val="00DA49F7"/>
    <w:rsid w:val="00DA4CDB"/>
    <w:rsid w:val="00DA52F2"/>
    <w:rsid w:val="00DA5C81"/>
    <w:rsid w:val="00DA7F61"/>
    <w:rsid w:val="00DB2A5F"/>
    <w:rsid w:val="00DB33DA"/>
    <w:rsid w:val="00DB4393"/>
    <w:rsid w:val="00DB63EB"/>
    <w:rsid w:val="00DB6B7A"/>
    <w:rsid w:val="00DC1523"/>
    <w:rsid w:val="00DC15B4"/>
    <w:rsid w:val="00DC1B46"/>
    <w:rsid w:val="00DC6928"/>
    <w:rsid w:val="00DC6F7C"/>
    <w:rsid w:val="00DD0649"/>
    <w:rsid w:val="00DD08C4"/>
    <w:rsid w:val="00DD125E"/>
    <w:rsid w:val="00DD1529"/>
    <w:rsid w:val="00DD328F"/>
    <w:rsid w:val="00DD3E06"/>
    <w:rsid w:val="00DD42BA"/>
    <w:rsid w:val="00DD5025"/>
    <w:rsid w:val="00DD52EA"/>
    <w:rsid w:val="00DD6E4D"/>
    <w:rsid w:val="00DD7511"/>
    <w:rsid w:val="00DD7785"/>
    <w:rsid w:val="00DE073E"/>
    <w:rsid w:val="00DE0E89"/>
    <w:rsid w:val="00DE520E"/>
    <w:rsid w:val="00DE7BC7"/>
    <w:rsid w:val="00DF0329"/>
    <w:rsid w:val="00DF1DA6"/>
    <w:rsid w:val="00DF2744"/>
    <w:rsid w:val="00DF2C56"/>
    <w:rsid w:val="00DF4180"/>
    <w:rsid w:val="00DF4FAC"/>
    <w:rsid w:val="00DF5B12"/>
    <w:rsid w:val="00DF5CC4"/>
    <w:rsid w:val="00E01C7D"/>
    <w:rsid w:val="00E01E84"/>
    <w:rsid w:val="00E0238C"/>
    <w:rsid w:val="00E0271A"/>
    <w:rsid w:val="00E032DD"/>
    <w:rsid w:val="00E03C70"/>
    <w:rsid w:val="00E0462F"/>
    <w:rsid w:val="00E055C5"/>
    <w:rsid w:val="00E05940"/>
    <w:rsid w:val="00E0647E"/>
    <w:rsid w:val="00E10F35"/>
    <w:rsid w:val="00E115DA"/>
    <w:rsid w:val="00E118A0"/>
    <w:rsid w:val="00E11A9E"/>
    <w:rsid w:val="00E11FBA"/>
    <w:rsid w:val="00E13BE6"/>
    <w:rsid w:val="00E144D1"/>
    <w:rsid w:val="00E15223"/>
    <w:rsid w:val="00E16121"/>
    <w:rsid w:val="00E17FBD"/>
    <w:rsid w:val="00E20C03"/>
    <w:rsid w:val="00E211F0"/>
    <w:rsid w:val="00E2134F"/>
    <w:rsid w:val="00E21FCC"/>
    <w:rsid w:val="00E22108"/>
    <w:rsid w:val="00E22A7E"/>
    <w:rsid w:val="00E22C38"/>
    <w:rsid w:val="00E230A9"/>
    <w:rsid w:val="00E25C08"/>
    <w:rsid w:val="00E25CA5"/>
    <w:rsid w:val="00E276E7"/>
    <w:rsid w:val="00E30EC9"/>
    <w:rsid w:val="00E326CD"/>
    <w:rsid w:val="00E33328"/>
    <w:rsid w:val="00E35E8F"/>
    <w:rsid w:val="00E4378B"/>
    <w:rsid w:val="00E44862"/>
    <w:rsid w:val="00E463EE"/>
    <w:rsid w:val="00E46DCA"/>
    <w:rsid w:val="00E470A0"/>
    <w:rsid w:val="00E52129"/>
    <w:rsid w:val="00E537C0"/>
    <w:rsid w:val="00E54B16"/>
    <w:rsid w:val="00E55379"/>
    <w:rsid w:val="00E56040"/>
    <w:rsid w:val="00E56980"/>
    <w:rsid w:val="00E56E66"/>
    <w:rsid w:val="00E57797"/>
    <w:rsid w:val="00E61A2E"/>
    <w:rsid w:val="00E626E6"/>
    <w:rsid w:val="00E62C2A"/>
    <w:rsid w:val="00E63BB7"/>
    <w:rsid w:val="00E6522C"/>
    <w:rsid w:val="00E660FD"/>
    <w:rsid w:val="00E70E32"/>
    <w:rsid w:val="00E71695"/>
    <w:rsid w:val="00E72C3D"/>
    <w:rsid w:val="00E74166"/>
    <w:rsid w:val="00E74495"/>
    <w:rsid w:val="00E74988"/>
    <w:rsid w:val="00E75DF8"/>
    <w:rsid w:val="00E768DF"/>
    <w:rsid w:val="00E77B5E"/>
    <w:rsid w:val="00E828FE"/>
    <w:rsid w:val="00E829C4"/>
    <w:rsid w:val="00E8317E"/>
    <w:rsid w:val="00E844E3"/>
    <w:rsid w:val="00E84E3B"/>
    <w:rsid w:val="00E85EEC"/>
    <w:rsid w:val="00E87BAE"/>
    <w:rsid w:val="00E91A5B"/>
    <w:rsid w:val="00E91DE3"/>
    <w:rsid w:val="00E93933"/>
    <w:rsid w:val="00E94113"/>
    <w:rsid w:val="00E94A38"/>
    <w:rsid w:val="00E9763D"/>
    <w:rsid w:val="00E97DA9"/>
    <w:rsid w:val="00EA1350"/>
    <w:rsid w:val="00EA1E14"/>
    <w:rsid w:val="00EA2515"/>
    <w:rsid w:val="00EA25E9"/>
    <w:rsid w:val="00EA28C0"/>
    <w:rsid w:val="00EA3604"/>
    <w:rsid w:val="00EA3B14"/>
    <w:rsid w:val="00EA5583"/>
    <w:rsid w:val="00EA7285"/>
    <w:rsid w:val="00EA79A1"/>
    <w:rsid w:val="00EB03B2"/>
    <w:rsid w:val="00EB2F78"/>
    <w:rsid w:val="00EB398A"/>
    <w:rsid w:val="00EB3FAD"/>
    <w:rsid w:val="00EB422C"/>
    <w:rsid w:val="00EB4E28"/>
    <w:rsid w:val="00EB6A56"/>
    <w:rsid w:val="00EB7F26"/>
    <w:rsid w:val="00EC0920"/>
    <w:rsid w:val="00EC0945"/>
    <w:rsid w:val="00EC13F6"/>
    <w:rsid w:val="00EC2034"/>
    <w:rsid w:val="00EC46BC"/>
    <w:rsid w:val="00EC6ADE"/>
    <w:rsid w:val="00EC6D42"/>
    <w:rsid w:val="00EC7AFB"/>
    <w:rsid w:val="00EC7E49"/>
    <w:rsid w:val="00ED005F"/>
    <w:rsid w:val="00ED1220"/>
    <w:rsid w:val="00ED30AB"/>
    <w:rsid w:val="00ED3545"/>
    <w:rsid w:val="00ED433A"/>
    <w:rsid w:val="00ED4F89"/>
    <w:rsid w:val="00ED65E8"/>
    <w:rsid w:val="00EE0928"/>
    <w:rsid w:val="00EE0D12"/>
    <w:rsid w:val="00EE2ADB"/>
    <w:rsid w:val="00EE4875"/>
    <w:rsid w:val="00EE516D"/>
    <w:rsid w:val="00EE5539"/>
    <w:rsid w:val="00EE5639"/>
    <w:rsid w:val="00EE7A24"/>
    <w:rsid w:val="00EF08B0"/>
    <w:rsid w:val="00EF1062"/>
    <w:rsid w:val="00EF24C7"/>
    <w:rsid w:val="00EF2878"/>
    <w:rsid w:val="00EF3F8F"/>
    <w:rsid w:val="00EF4741"/>
    <w:rsid w:val="00EF6E3F"/>
    <w:rsid w:val="00EF73AB"/>
    <w:rsid w:val="00F00232"/>
    <w:rsid w:val="00F00596"/>
    <w:rsid w:val="00F00960"/>
    <w:rsid w:val="00F012D0"/>
    <w:rsid w:val="00F0194E"/>
    <w:rsid w:val="00F02E20"/>
    <w:rsid w:val="00F0345F"/>
    <w:rsid w:val="00F0425C"/>
    <w:rsid w:val="00F042E5"/>
    <w:rsid w:val="00F07680"/>
    <w:rsid w:val="00F07B1A"/>
    <w:rsid w:val="00F07B2B"/>
    <w:rsid w:val="00F10885"/>
    <w:rsid w:val="00F10EAA"/>
    <w:rsid w:val="00F11038"/>
    <w:rsid w:val="00F11298"/>
    <w:rsid w:val="00F1332E"/>
    <w:rsid w:val="00F13EF5"/>
    <w:rsid w:val="00F154B1"/>
    <w:rsid w:val="00F16010"/>
    <w:rsid w:val="00F163AB"/>
    <w:rsid w:val="00F163C8"/>
    <w:rsid w:val="00F17902"/>
    <w:rsid w:val="00F20A83"/>
    <w:rsid w:val="00F21881"/>
    <w:rsid w:val="00F21D78"/>
    <w:rsid w:val="00F224B3"/>
    <w:rsid w:val="00F22D8C"/>
    <w:rsid w:val="00F231A7"/>
    <w:rsid w:val="00F2335F"/>
    <w:rsid w:val="00F234BC"/>
    <w:rsid w:val="00F237C6"/>
    <w:rsid w:val="00F24A83"/>
    <w:rsid w:val="00F2590A"/>
    <w:rsid w:val="00F27430"/>
    <w:rsid w:val="00F304DB"/>
    <w:rsid w:val="00F3133F"/>
    <w:rsid w:val="00F31D3E"/>
    <w:rsid w:val="00F32AA0"/>
    <w:rsid w:val="00F32F31"/>
    <w:rsid w:val="00F339E7"/>
    <w:rsid w:val="00F341BF"/>
    <w:rsid w:val="00F346ED"/>
    <w:rsid w:val="00F34734"/>
    <w:rsid w:val="00F366E1"/>
    <w:rsid w:val="00F36CB0"/>
    <w:rsid w:val="00F36EA9"/>
    <w:rsid w:val="00F3789B"/>
    <w:rsid w:val="00F4267F"/>
    <w:rsid w:val="00F42B7B"/>
    <w:rsid w:val="00F43C67"/>
    <w:rsid w:val="00F43EEB"/>
    <w:rsid w:val="00F448ED"/>
    <w:rsid w:val="00F454A9"/>
    <w:rsid w:val="00F4629E"/>
    <w:rsid w:val="00F46DD9"/>
    <w:rsid w:val="00F46F2F"/>
    <w:rsid w:val="00F47AD3"/>
    <w:rsid w:val="00F51144"/>
    <w:rsid w:val="00F51F25"/>
    <w:rsid w:val="00F52E4F"/>
    <w:rsid w:val="00F53439"/>
    <w:rsid w:val="00F547B0"/>
    <w:rsid w:val="00F5743E"/>
    <w:rsid w:val="00F57E97"/>
    <w:rsid w:val="00F600E2"/>
    <w:rsid w:val="00F619CF"/>
    <w:rsid w:val="00F66C78"/>
    <w:rsid w:val="00F67064"/>
    <w:rsid w:val="00F67EB1"/>
    <w:rsid w:val="00F70E15"/>
    <w:rsid w:val="00F72CFF"/>
    <w:rsid w:val="00F734EA"/>
    <w:rsid w:val="00F76557"/>
    <w:rsid w:val="00F76F83"/>
    <w:rsid w:val="00F80832"/>
    <w:rsid w:val="00F82174"/>
    <w:rsid w:val="00F822B6"/>
    <w:rsid w:val="00F826F1"/>
    <w:rsid w:val="00F84285"/>
    <w:rsid w:val="00F85A97"/>
    <w:rsid w:val="00F86995"/>
    <w:rsid w:val="00F87D9C"/>
    <w:rsid w:val="00F90539"/>
    <w:rsid w:val="00F96169"/>
    <w:rsid w:val="00F9690D"/>
    <w:rsid w:val="00FA0CFE"/>
    <w:rsid w:val="00FA0D66"/>
    <w:rsid w:val="00FA21C4"/>
    <w:rsid w:val="00FA2C7B"/>
    <w:rsid w:val="00FA366F"/>
    <w:rsid w:val="00FA38D9"/>
    <w:rsid w:val="00FA419B"/>
    <w:rsid w:val="00FA49B2"/>
    <w:rsid w:val="00FA722B"/>
    <w:rsid w:val="00FA7D51"/>
    <w:rsid w:val="00FB038A"/>
    <w:rsid w:val="00FB09AD"/>
    <w:rsid w:val="00FB1C15"/>
    <w:rsid w:val="00FB1C65"/>
    <w:rsid w:val="00FB27F8"/>
    <w:rsid w:val="00FB2B3D"/>
    <w:rsid w:val="00FB33C7"/>
    <w:rsid w:val="00FB4D28"/>
    <w:rsid w:val="00FB554B"/>
    <w:rsid w:val="00FB5880"/>
    <w:rsid w:val="00FB67D8"/>
    <w:rsid w:val="00FB7A97"/>
    <w:rsid w:val="00FB7CF9"/>
    <w:rsid w:val="00FC2C33"/>
    <w:rsid w:val="00FC36A9"/>
    <w:rsid w:val="00FC44BF"/>
    <w:rsid w:val="00FC5986"/>
    <w:rsid w:val="00FC59C6"/>
    <w:rsid w:val="00FC6A11"/>
    <w:rsid w:val="00FD110B"/>
    <w:rsid w:val="00FD30DC"/>
    <w:rsid w:val="00FD3D6E"/>
    <w:rsid w:val="00FD4CA6"/>
    <w:rsid w:val="00FD5B26"/>
    <w:rsid w:val="00FD5C15"/>
    <w:rsid w:val="00FD7010"/>
    <w:rsid w:val="00FD76A0"/>
    <w:rsid w:val="00FD7BED"/>
    <w:rsid w:val="00FE0B7C"/>
    <w:rsid w:val="00FE170A"/>
    <w:rsid w:val="00FE18E4"/>
    <w:rsid w:val="00FE6BE9"/>
    <w:rsid w:val="00FE7937"/>
    <w:rsid w:val="00FF0012"/>
    <w:rsid w:val="00FF0CFA"/>
    <w:rsid w:val="00FF10F0"/>
    <w:rsid w:val="00FF13F0"/>
    <w:rsid w:val="00FF4BC2"/>
    <w:rsid w:val="00FF7D49"/>
    <w:rsid w:val="0108356C"/>
    <w:rsid w:val="0109D8B1"/>
    <w:rsid w:val="013CFF38"/>
    <w:rsid w:val="01476AC4"/>
    <w:rsid w:val="0152573F"/>
    <w:rsid w:val="0162F83E"/>
    <w:rsid w:val="01D0477A"/>
    <w:rsid w:val="01DEDAB5"/>
    <w:rsid w:val="01F41EBC"/>
    <w:rsid w:val="01F91853"/>
    <w:rsid w:val="021BAFB4"/>
    <w:rsid w:val="0233E33C"/>
    <w:rsid w:val="02551389"/>
    <w:rsid w:val="02AF17CD"/>
    <w:rsid w:val="02C7787A"/>
    <w:rsid w:val="02D13A3B"/>
    <w:rsid w:val="02E29EA1"/>
    <w:rsid w:val="030D60F0"/>
    <w:rsid w:val="030DD595"/>
    <w:rsid w:val="0316773F"/>
    <w:rsid w:val="031BEF6B"/>
    <w:rsid w:val="032B2241"/>
    <w:rsid w:val="0386509D"/>
    <w:rsid w:val="03887BD4"/>
    <w:rsid w:val="03AC2BA5"/>
    <w:rsid w:val="03BE6916"/>
    <w:rsid w:val="03C7BB7F"/>
    <w:rsid w:val="042B3D1D"/>
    <w:rsid w:val="043A9837"/>
    <w:rsid w:val="04557497"/>
    <w:rsid w:val="045D49F6"/>
    <w:rsid w:val="047E740E"/>
    <w:rsid w:val="049202DC"/>
    <w:rsid w:val="049B2704"/>
    <w:rsid w:val="04A34EA7"/>
    <w:rsid w:val="04B91103"/>
    <w:rsid w:val="04D6122D"/>
    <w:rsid w:val="051EB70C"/>
    <w:rsid w:val="05382390"/>
    <w:rsid w:val="053ABD3E"/>
    <w:rsid w:val="0547EE43"/>
    <w:rsid w:val="055D6C38"/>
    <w:rsid w:val="055EBFE4"/>
    <w:rsid w:val="0566B729"/>
    <w:rsid w:val="05DF4026"/>
    <w:rsid w:val="0610C883"/>
    <w:rsid w:val="061219AC"/>
    <w:rsid w:val="0630CD90"/>
    <w:rsid w:val="065C30D6"/>
    <w:rsid w:val="069C45C2"/>
    <w:rsid w:val="06A8C54A"/>
    <w:rsid w:val="06C79106"/>
    <w:rsid w:val="0706BC10"/>
    <w:rsid w:val="071CA2FD"/>
    <w:rsid w:val="073BF8F8"/>
    <w:rsid w:val="074C5533"/>
    <w:rsid w:val="075EF8B8"/>
    <w:rsid w:val="078184D2"/>
    <w:rsid w:val="07B2BC3D"/>
    <w:rsid w:val="07B61F63"/>
    <w:rsid w:val="07BCC8CE"/>
    <w:rsid w:val="07C532A3"/>
    <w:rsid w:val="08150E5B"/>
    <w:rsid w:val="083145D6"/>
    <w:rsid w:val="0868CBE0"/>
    <w:rsid w:val="087B3C12"/>
    <w:rsid w:val="08CC42D9"/>
    <w:rsid w:val="08E5C8EB"/>
    <w:rsid w:val="08EC7056"/>
    <w:rsid w:val="08EEB8FB"/>
    <w:rsid w:val="0931F4A1"/>
    <w:rsid w:val="093B2F3A"/>
    <w:rsid w:val="094F09B4"/>
    <w:rsid w:val="0956CF5D"/>
    <w:rsid w:val="097AA6CC"/>
    <w:rsid w:val="09827E51"/>
    <w:rsid w:val="0985678B"/>
    <w:rsid w:val="09970EF1"/>
    <w:rsid w:val="09C51D55"/>
    <w:rsid w:val="09DD805B"/>
    <w:rsid w:val="09EC0203"/>
    <w:rsid w:val="0A2A9A33"/>
    <w:rsid w:val="0A5AAAD6"/>
    <w:rsid w:val="0A606EB0"/>
    <w:rsid w:val="0A6FB214"/>
    <w:rsid w:val="0A70DB25"/>
    <w:rsid w:val="0A7E791C"/>
    <w:rsid w:val="0AB0BAF7"/>
    <w:rsid w:val="0AD060E5"/>
    <w:rsid w:val="0B1E4EB2"/>
    <w:rsid w:val="0B238FAD"/>
    <w:rsid w:val="0B511DCF"/>
    <w:rsid w:val="0B5A21AF"/>
    <w:rsid w:val="0B60C543"/>
    <w:rsid w:val="0B6890A9"/>
    <w:rsid w:val="0B6D4E6D"/>
    <w:rsid w:val="0B850410"/>
    <w:rsid w:val="0B912C57"/>
    <w:rsid w:val="0B95CA10"/>
    <w:rsid w:val="0BA89BF2"/>
    <w:rsid w:val="0BABFF83"/>
    <w:rsid w:val="0BBE5534"/>
    <w:rsid w:val="0BC2D191"/>
    <w:rsid w:val="0BE70C31"/>
    <w:rsid w:val="0C32AC6C"/>
    <w:rsid w:val="0C5EC7A8"/>
    <w:rsid w:val="0C5FB753"/>
    <w:rsid w:val="0C664D72"/>
    <w:rsid w:val="0C781C81"/>
    <w:rsid w:val="0C87625A"/>
    <w:rsid w:val="0CCA436A"/>
    <w:rsid w:val="0CF6E147"/>
    <w:rsid w:val="0D079C68"/>
    <w:rsid w:val="0D2DCCA3"/>
    <w:rsid w:val="0D4B1A0B"/>
    <w:rsid w:val="0D768794"/>
    <w:rsid w:val="0D85F75B"/>
    <w:rsid w:val="0DA23E29"/>
    <w:rsid w:val="0DBEFD57"/>
    <w:rsid w:val="0DE5E473"/>
    <w:rsid w:val="0DE71B75"/>
    <w:rsid w:val="0E5B619F"/>
    <w:rsid w:val="0E96E30A"/>
    <w:rsid w:val="0EAEDB6E"/>
    <w:rsid w:val="0EB77B35"/>
    <w:rsid w:val="0EC5DFB3"/>
    <w:rsid w:val="0ECE175D"/>
    <w:rsid w:val="0EDB759C"/>
    <w:rsid w:val="0F0F9D5B"/>
    <w:rsid w:val="0F29838C"/>
    <w:rsid w:val="0F61FE1B"/>
    <w:rsid w:val="0F818D96"/>
    <w:rsid w:val="0FB7AAC9"/>
    <w:rsid w:val="0FBDAFA3"/>
    <w:rsid w:val="0FBFBB57"/>
    <w:rsid w:val="0FCBCB2F"/>
    <w:rsid w:val="0FD5F59E"/>
    <w:rsid w:val="10064F37"/>
    <w:rsid w:val="10165462"/>
    <w:rsid w:val="103937AC"/>
    <w:rsid w:val="107AE65C"/>
    <w:rsid w:val="10904200"/>
    <w:rsid w:val="10D1E72A"/>
    <w:rsid w:val="115CB577"/>
    <w:rsid w:val="116D03F8"/>
    <w:rsid w:val="11F1E639"/>
    <w:rsid w:val="120E38A2"/>
    <w:rsid w:val="121A2E86"/>
    <w:rsid w:val="12474E64"/>
    <w:rsid w:val="12739FF1"/>
    <w:rsid w:val="1280B237"/>
    <w:rsid w:val="12D1F113"/>
    <w:rsid w:val="12DE8DCB"/>
    <w:rsid w:val="130850B1"/>
    <w:rsid w:val="1328487D"/>
    <w:rsid w:val="132B4A07"/>
    <w:rsid w:val="134CB5E7"/>
    <w:rsid w:val="135671FA"/>
    <w:rsid w:val="1365BC58"/>
    <w:rsid w:val="13893682"/>
    <w:rsid w:val="139153D9"/>
    <w:rsid w:val="13ADEA56"/>
    <w:rsid w:val="13CF6976"/>
    <w:rsid w:val="1408DFE0"/>
    <w:rsid w:val="1411AFDE"/>
    <w:rsid w:val="14712957"/>
    <w:rsid w:val="1472C419"/>
    <w:rsid w:val="14A8308F"/>
    <w:rsid w:val="15535CED"/>
    <w:rsid w:val="157EDEDF"/>
    <w:rsid w:val="159B1EA1"/>
    <w:rsid w:val="15C3942F"/>
    <w:rsid w:val="15F0BF94"/>
    <w:rsid w:val="161911FE"/>
    <w:rsid w:val="161D5C62"/>
    <w:rsid w:val="162BE045"/>
    <w:rsid w:val="165D4A9E"/>
    <w:rsid w:val="1686DB9E"/>
    <w:rsid w:val="16A02417"/>
    <w:rsid w:val="16A49617"/>
    <w:rsid w:val="16C6FE62"/>
    <w:rsid w:val="176AF996"/>
    <w:rsid w:val="17846AAB"/>
    <w:rsid w:val="178571A6"/>
    <w:rsid w:val="178FB502"/>
    <w:rsid w:val="17C9BDDE"/>
    <w:rsid w:val="17E3A95D"/>
    <w:rsid w:val="17E4BCF1"/>
    <w:rsid w:val="17F528C9"/>
    <w:rsid w:val="183C2A35"/>
    <w:rsid w:val="18464F8D"/>
    <w:rsid w:val="18551FC1"/>
    <w:rsid w:val="185EC3FC"/>
    <w:rsid w:val="187C7531"/>
    <w:rsid w:val="18B5A68A"/>
    <w:rsid w:val="18D58E5C"/>
    <w:rsid w:val="18D91B7F"/>
    <w:rsid w:val="18E3AA7B"/>
    <w:rsid w:val="18EDD410"/>
    <w:rsid w:val="18FFD934"/>
    <w:rsid w:val="195E8D0F"/>
    <w:rsid w:val="197A3B65"/>
    <w:rsid w:val="197AE2FC"/>
    <w:rsid w:val="19A9344E"/>
    <w:rsid w:val="19AEE1CA"/>
    <w:rsid w:val="19B3AE10"/>
    <w:rsid w:val="19B910BD"/>
    <w:rsid w:val="19C82993"/>
    <w:rsid w:val="1A526049"/>
    <w:rsid w:val="1A62E821"/>
    <w:rsid w:val="1AB109A1"/>
    <w:rsid w:val="1AF00ECF"/>
    <w:rsid w:val="1AF5E63E"/>
    <w:rsid w:val="1B0C1918"/>
    <w:rsid w:val="1B15AFF7"/>
    <w:rsid w:val="1B24FD12"/>
    <w:rsid w:val="1B2E3C90"/>
    <w:rsid w:val="1B35C12F"/>
    <w:rsid w:val="1B35CD07"/>
    <w:rsid w:val="1BCE83A2"/>
    <w:rsid w:val="1BE15E99"/>
    <w:rsid w:val="1BEE2063"/>
    <w:rsid w:val="1C9EE446"/>
    <w:rsid w:val="1C9FE4C3"/>
    <w:rsid w:val="1CAB2318"/>
    <w:rsid w:val="1CAC816F"/>
    <w:rsid w:val="1CD1A068"/>
    <w:rsid w:val="1CE0B6AB"/>
    <w:rsid w:val="1CEB209A"/>
    <w:rsid w:val="1D124AC2"/>
    <w:rsid w:val="1D35A53E"/>
    <w:rsid w:val="1D6A5403"/>
    <w:rsid w:val="1D9CEAC3"/>
    <w:rsid w:val="1DBFBB0C"/>
    <w:rsid w:val="1DEF71DF"/>
    <w:rsid w:val="1E09FBAE"/>
    <w:rsid w:val="1E0D775A"/>
    <w:rsid w:val="1E2E1553"/>
    <w:rsid w:val="1E3EF104"/>
    <w:rsid w:val="1E6B12E9"/>
    <w:rsid w:val="1E787EF0"/>
    <w:rsid w:val="1E8267AE"/>
    <w:rsid w:val="1EC41C5A"/>
    <w:rsid w:val="1EDB16E5"/>
    <w:rsid w:val="1EFA5304"/>
    <w:rsid w:val="1F2722B0"/>
    <w:rsid w:val="1F7EC5BF"/>
    <w:rsid w:val="1F8AE08C"/>
    <w:rsid w:val="1F947407"/>
    <w:rsid w:val="1FCDCE93"/>
    <w:rsid w:val="2001F889"/>
    <w:rsid w:val="205A90DC"/>
    <w:rsid w:val="20610D8E"/>
    <w:rsid w:val="2068CCD5"/>
    <w:rsid w:val="207A6B52"/>
    <w:rsid w:val="20897411"/>
    <w:rsid w:val="209754E9"/>
    <w:rsid w:val="20D7E0B0"/>
    <w:rsid w:val="20DEFBD5"/>
    <w:rsid w:val="2144F468"/>
    <w:rsid w:val="214C8C51"/>
    <w:rsid w:val="21540F52"/>
    <w:rsid w:val="2154E274"/>
    <w:rsid w:val="215D217A"/>
    <w:rsid w:val="218FE042"/>
    <w:rsid w:val="219A617E"/>
    <w:rsid w:val="21A34C9F"/>
    <w:rsid w:val="21BC1E77"/>
    <w:rsid w:val="21D5F0D4"/>
    <w:rsid w:val="2224DB86"/>
    <w:rsid w:val="22760B3A"/>
    <w:rsid w:val="22827FBB"/>
    <w:rsid w:val="22868662"/>
    <w:rsid w:val="229E4A44"/>
    <w:rsid w:val="234E36DE"/>
    <w:rsid w:val="23513521"/>
    <w:rsid w:val="235C00F0"/>
    <w:rsid w:val="236C7DAD"/>
    <w:rsid w:val="237F7BEB"/>
    <w:rsid w:val="23839FDB"/>
    <w:rsid w:val="23A3E336"/>
    <w:rsid w:val="23B92F51"/>
    <w:rsid w:val="23C63C43"/>
    <w:rsid w:val="23CCC2F0"/>
    <w:rsid w:val="23E6E0F1"/>
    <w:rsid w:val="242427C3"/>
    <w:rsid w:val="2427993C"/>
    <w:rsid w:val="242AA166"/>
    <w:rsid w:val="242FC12E"/>
    <w:rsid w:val="24479378"/>
    <w:rsid w:val="244BB479"/>
    <w:rsid w:val="249BCCEE"/>
    <w:rsid w:val="24C2944C"/>
    <w:rsid w:val="24DE77BA"/>
    <w:rsid w:val="24FA4CAB"/>
    <w:rsid w:val="252791F6"/>
    <w:rsid w:val="257BDA4C"/>
    <w:rsid w:val="257C9B2C"/>
    <w:rsid w:val="25AE17D3"/>
    <w:rsid w:val="25B37C5E"/>
    <w:rsid w:val="25D35223"/>
    <w:rsid w:val="25EDBB01"/>
    <w:rsid w:val="25F4891D"/>
    <w:rsid w:val="260394C8"/>
    <w:rsid w:val="26168859"/>
    <w:rsid w:val="2642F596"/>
    <w:rsid w:val="26659EE9"/>
    <w:rsid w:val="268FE9EB"/>
    <w:rsid w:val="269216F7"/>
    <w:rsid w:val="26CB2305"/>
    <w:rsid w:val="26FAA651"/>
    <w:rsid w:val="272A9D75"/>
    <w:rsid w:val="275F39FE"/>
    <w:rsid w:val="2776C1E2"/>
    <w:rsid w:val="277D14A7"/>
    <w:rsid w:val="278BD2D9"/>
    <w:rsid w:val="27BEDFFF"/>
    <w:rsid w:val="27D1F1EF"/>
    <w:rsid w:val="27E577A6"/>
    <w:rsid w:val="27FA563D"/>
    <w:rsid w:val="2827991A"/>
    <w:rsid w:val="28282834"/>
    <w:rsid w:val="282A84E7"/>
    <w:rsid w:val="2835755A"/>
    <w:rsid w:val="2847F119"/>
    <w:rsid w:val="28624EA3"/>
    <w:rsid w:val="287B2417"/>
    <w:rsid w:val="2884659B"/>
    <w:rsid w:val="289F8FE9"/>
    <w:rsid w:val="28A3B080"/>
    <w:rsid w:val="28D9C219"/>
    <w:rsid w:val="29278AB1"/>
    <w:rsid w:val="294EEE25"/>
    <w:rsid w:val="296E60FC"/>
    <w:rsid w:val="2987A2C3"/>
    <w:rsid w:val="2992C833"/>
    <w:rsid w:val="29B2B201"/>
    <w:rsid w:val="29CF1926"/>
    <w:rsid w:val="29DC8DB0"/>
    <w:rsid w:val="29F9CEEC"/>
    <w:rsid w:val="2A5E1E93"/>
    <w:rsid w:val="2A7265BC"/>
    <w:rsid w:val="2A8188F6"/>
    <w:rsid w:val="2AAB34F2"/>
    <w:rsid w:val="2B02F540"/>
    <w:rsid w:val="2B0B4D35"/>
    <w:rsid w:val="2B4AF471"/>
    <w:rsid w:val="2B4BA3ED"/>
    <w:rsid w:val="2B76C000"/>
    <w:rsid w:val="2B7EE5A0"/>
    <w:rsid w:val="2BAC5517"/>
    <w:rsid w:val="2BC73913"/>
    <w:rsid w:val="2BCCBED3"/>
    <w:rsid w:val="2BCD14B0"/>
    <w:rsid w:val="2BCE1774"/>
    <w:rsid w:val="2C326C69"/>
    <w:rsid w:val="2CB03F69"/>
    <w:rsid w:val="2CBB1BD1"/>
    <w:rsid w:val="2CBB94ED"/>
    <w:rsid w:val="2CD51FF4"/>
    <w:rsid w:val="2D44C5A1"/>
    <w:rsid w:val="2D67FC5C"/>
    <w:rsid w:val="2D8E3E09"/>
    <w:rsid w:val="2DB7A3CF"/>
    <w:rsid w:val="2DE5FD9B"/>
    <w:rsid w:val="2E395BF1"/>
    <w:rsid w:val="2E3B9362"/>
    <w:rsid w:val="2E627418"/>
    <w:rsid w:val="2EB0CCC6"/>
    <w:rsid w:val="2EE09602"/>
    <w:rsid w:val="2EEA7450"/>
    <w:rsid w:val="2F1A5A88"/>
    <w:rsid w:val="2F2F6DE6"/>
    <w:rsid w:val="2F38A360"/>
    <w:rsid w:val="2F3E8AC4"/>
    <w:rsid w:val="2F52BB4A"/>
    <w:rsid w:val="2F56ABA2"/>
    <w:rsid w:val="2F6FC11A"/>
    <w:rsid w:val="2F71913A"/>
    <w:rsid w:val="2F9D1728"/>
    <w:rsid w:val="2FB119AE"/>
    <w:rsid w:val="2FC77E7B"/>
    <w:rsid w:val="304351AC"/>
    <w:rsid w:val="305B4315"/>
    <w:rsid w:val="3062002D"/>
    <w:rsid w:val="306F6B7F"/>
    <w:rsid w:val="3085E440"/>
    <w:rsid w:val="30909A9A"/>
    <w:rsid w:val="30DFB31D"/>
    <w:rsid w:val="313068FE"/>
    <w:rsid w:val="31400B9A"/>
    <w:rsid w:val="318E6DDF"/>
    <w:rsid w:val="318F2482"/>
    <w:rsid w:val="3199D6B4"/>
    <w:rsid w:val="31ABE7D7"/>
    <w:rsid w:val="31E35478"/>
    <w:rsid w:val="3216911F"/>
    <w:rsid w:val="32440C60"/>
    <w:rsid w:val="325E1019"/>
    <w:rsid w:val="3283A070"/>
    <w:rsid w:val="328E6FBB"/>
    <w:rsid w:val="329DA3CE"/>
    <w:rsid w:val="32A01D96"/>
    <w:rsid w:val="32E3AD06"/>
    <w:rsid w:val="32F964AB"/>
    <w:rsid w:val="330C31E2"/>
    <w:rsid w:val="33118DF5"/>
    <w:rsid w:val="3313619D"/>
    <w:rsid w:val="33158739"/>
    <w:rsid w:val="332D6138"/>
    <w:rsid w:val="33573302"/>
    <w:rsid w:val="33754C84"/>
    <w:rsid w:val="33760546"/>
    <w:rsid w:val="33E8081D"/>
    <w:rsid w:val="33EED332"/>
    <w:rsid w:val="33F62DB5"/>
    <w:rsid w:val="34004C2E"/>
    <w:rsid w:val="3419DD32"/>
    <w:rsid w:val="3432B52A"/>
    <w:rsid w:val="3449C0F7"/>
    <w:rsid w:val="3476A5E6"/>
    <w:rsid w:val="34773A9A"/>
    <w:rsid w:val="34818A31"/>
    <w:rsid w:val="34933108"/>
    <w:rsid w:val="349666D5"/>
    <w:rsid w:val="34A6907A"/>
    <w:rsid w:val="34EB38AC"/>
    <w:rsid w:val="35196419"/>
    <w:rsid w:val="351C1364"/>
    <w:rsid w:val="355BC850"/>
    <w:rsid w:val="355ED540"/>
    <w:rsid w:val="3561FC6E"/>
    <w:rsid w:val="35AD01C8"/>
    <w:rsid w:val="35FB224D"/>
    <w:rsid w:val="3620B8B2"/>
    <w:rsid w:val="3624071A"/>
    <w:rsid w:val="36363018"/>
    <w:rsid w:val="363F5C21"/>
    <w:rsid w:val="3654D513"/>
    <w:rsid w:val="36594865"/>
    <w:rsid w:val="3677877E"/>
    <w:rsid w:val="3688E794"/>
    <w:rsid w:val="369ED633"/>
    <w:rsid w:val="36B6555A"/>
    <w:rsid w:val="36DBFD67"/>
    <w:rsid w:val="37135DC4"/>
    <w:rsid w:val="374B5DDD"/>
    <w:rsid w:val="37965E87"/>
    <w:rsid w:val="37A79CB2"/>
    <w:rsid w:val="37B12C5A"/>
    <w:rsid w:val="37B5123E"/>
    <w:rsid w:val="37BC18D5"/>
    <w:rsid w:val="383F3D85"/>
    <w:rsid w:val="386AA4C4"/>
    <w:rsid w:val="38D56AA2"/>
    <w:rsid w:val="38E6E0EF"/>
    <w:rsid w:val="38FCA1E9"/>
    <w:rsid w:val="3967B969"/>
    <w:rsid w:val="39A0D817"/>
    <w:rsid w:val="39A79C19"/>
    <w:rsid w:val="3A20FAD4"/>
    <w:rsid w:val="3A5A15C4"/>
    <w:rsid w:val="3A619F79"/>
    <w:rsid w:val="3A6A1B30"/>
    <w:rsid w:val="3A713B03"/>
    <w:rsid w:val="3A77D0B0"/>
    <w:rsid w:val="3A931178"/>
    <w:rsid w:val="3A9463DC"/>
    <w:rsid w:val="3A948592"/>
    <w:rsid w:val="3A98CBF4"/>
    <w:rsid w:val="3ABEACA2"/>
    <w:rsid w:val="3B2148E4"/>
    <w:rsid w:val="3B5007E3"/>
    <w:rsid w:val="3B879920"/>
    <w:rsid w:val="3B8E02D3"/>
    <w:rsid w:val="3B938354"/>
    <w:rsid w:val="3BFE4451"/>
    <w:rsid w:val="3BFE4707"/>
    <w:rsid w:val="3C325F81"/>
    <w:rsid w:val="3C736E8D"/>
    <w:rsid w:val="3C77C35C"/>
    <w:rsid w:val="3CE2412E"/>
    <w:rsid w:val="3D0E5A1F"/>
    <w:rsid w:val="3D12DF33"/>
    <w:rsid w:val="3D16D9C8"/>
    <w:rsid w:val="3D238F70"/>
    <w:rsid w:val="3D289D16"/>
    <w:rsid w:val="3D3249EF"/>
    <w:rsid w:val="3D531561"/>
    <w:rsid w:val="3D8B80ED"/>
    <w:rsid w:val="3D9A3B3C"/>
    <w:rsid w:val="3DAB73C5"/>
    <w:rsid w:val="3DC2DE64"/>
    <w:rsid w:val="3E19D49F"/>
    <w:rsid w:val="3E3013F5"/>
    <w:rsid w:val="3E50FEB9"/>
    <w:rsid w:val="3EA316CD"/>
    <w:rsid w:val="3EA6CFE7"/>
    <w:rsid w:val="3EB18395"/>
    <w:rsid w:val="3EE0F3DB"/>
    <w:rsid w:val="3EF9CEEC"/>
    <w:rsid w:val="3F05F479"/>
    <w:rsid w:val="3F0AAB97"/>
    <w:rsid w:val="3F3AB33C"/>
    <w:rsid w:val="3F421F98"/>
    <w:rsid w:val="3F5FD073"/>
    <w:rsid w:val="3F69D5B7"/>
    <w:rsid w:val="3F7B6118"/>
    <w:rsid w:val="3FACFD1B"/>
    <w:rsid w:val="3FDECC67"/>
    <w:rsid w:val="404C7CD6"/>
    <w:rsid w:val="405C4465"/>
    <w:rsid w:val="405D30A3"/>
    <w:rsid w:val="4072245A"/>
    <w:rsid w:val="4072918D"/>
    <w:rsid w:val="40852778"/>
    <w:rsid w:val="4091ED89"/>
    <w:rsid w:val="40AA76F5"/>
    <w:rsid w:val="40BBAC63"/>
    <w:rsid w:val="410F530B"/>
    <w:rsid w:val="41397377"/>
    <w:rsid w:val="41894C17"/>
    <w:rsid w:val="41EBE147"/>
    <w:rsid w:val="41F14CA9"/>
    <w:rsid w:val="41FA19B8"/>
    <w:rsid w:val="4210ED86"/>
    <w:rsid w:val="422C0022"/>
    <w:rsid w:val="423EF7BE"/>
    <w:rsid w:val="4249CDC2"/>
    <w:rsid w:val="4250FB97"/>
    <w:rsid w:val="42E4B409"/>
    <w:rsid w:val="4340D151"/>
    <w:rsid w:val="434833D8"/>
    <w:rsid w:val="43B5A198"/>
    <w:rsid w:val="43B882EE"/>
    <w:rsid w:val="43BC42A1"/>
    <w:rsid w:val="43F84553"/>
    <w:rsid w:val="4422CE7C"/>
    <w:rsid w:val="4445F6AD"/>
    <w:rsid w:val="4447FDD8"/>
    <w:rsid w:val="44AD9284"/>
    <w:rsid w:val="44C1BCD7"/>
    <w:rsid w:val="44CA7F87"/>
    <w:rsid w:val="44F52D5B"/>
    <w:rsid w:val="44FD8961"/>
    <w:rsid w:val="450557E1"/>
    <w:rsid w:val="4508123F"/>
    <w:rsid w:val="455C4023"/>
    <w:rsid w:val="4570DD45"/>
    <w:rsid w:val="458795A2"/>
    <w:rsid w:val="45AA3B49"/>
    <w:rsid w:val="45C4E609"/>
    <w:rsid w:val="45F6FBCC"/>
    <w:rsid w:val="45F911B3"/>
    <w:rsid w:val="460973A8"/>
    <w:rsid w:val="46358CC5"/>
    <w:rsid w:val="464608E6"/>
    <w:rsid w:val="4674627D"/>
    <w:rsid w:val="467A83B4"/>
    <w:rsid w:val="468F735A"/>
    <w:rsid w:val="469983B8"/>
    <w:rsid w:val="46ACFBA7"/>
    <w:rsid w:val="46AE54FC"/>
    <w:rsid w:val="46BE93B4"/>
    <w:rsid w:val="472392E3"/>
    <w:rsid w:val="47275CD1"/>
    <w:rsid w:val="47297D6B"/>
    <w:rsid w:val="47616C86"/>
    <w:rsid w:val="4768CE08"/>
    <w:rsid w:val="4769871A"/>
    <w:rsid w:val="4772BE8A"/>
    <w:rsid w:val="47763DCA"/>
    <w:rsid w:val="47C1B4B8"/>
    <w:rsid w:val="47C9540B"/>
    <w:rsid w:val="4802B76B"/>
    <w:rsid w:val="480F7124"/>
    <w:rsid w:val="482005F9"/>
    <w:rsid w:val="4832D85B"/>
    <w:rsid w:val="485C175F"/>
    <w:rsid w:val="4877DD1D"/>
    <w:rsid w:val="488B7E98"/>
    <w:rsid w:val="489A73AE"/>
    <w:rsid w:val="48B77224"/>
    <w:rsid w:val="48C52C69"/>
    <w:rsid w:val="48D65AF0"/>
    <w:rsid w:val="48F43AD3"/>
    <w:rsid w:val="490C1849"/>
    <w:rsid w:val="494D5980"/>
    <w:rsid w:val="4950C84C"/>
    <w:rsid w:val="497836A8"/>
    <w:rsid w:val="49794406"/>
    <w:rsid w:val="498ECC0F"/>
    <w:rsid w:val="49950B9D"/>
    <w:rsid w:val="49FC7B8C"/>
    <w:rsid w:val="4A3A4C3E"/>
    <w:rsid w:val="4A86C638"/>
    <w:rsid w:val="4AB6B5B6"/>
    <w:rsid w:val="4B140709"/>
    <w:rsid w:val="4B1A35CE"/>
    <w:rsid w:val="4B8AA0F9"/>
    <w:rsid w:val="4B9E7486"/>
    <w:rsid w:val="4BB000B3"/>
    <w:rsid w:val="4BB955B8"/>
    <w:rsid w:val="4BCF73E2"/>
    <w:rsid w:val="4BD44175"/>
    <w:rsid w:val="4C0EFC32"/>
    <w:rsid w:val="4C3E59B8"/>
    <w:rsid w:val="4C7C707B"/>
    <w:rsid w:val="4C948807"/>
    <w:rsid w:val="4C9C338E"/>
    <w:rsid w:val="4CB0B7A5"/>
    <w:rsid w:val="4CC6AF8B"/>
    <w:rsid w:val="4CEC3848"/>
    <w:rsid w:val="4CF2CFB9"/>
    <w:rsid w:val="4CF8B9B3"/>
    <w:rsid w:val="4D07637B"/>
    <w:rsid w:val="4D1751D9"/>
    <w:rsid w:val="4D2064EE"/>
    <w:rsid w:val="4D2B279E"/>
    <w:rsid w:val="4D65B49D"/>
    <w:rsid w:val="4DC80D7A"/>
    <w:rsid w:val="4E040480"/>
    <w:rsid w:val="4E610445"/>
    <w:rsid w:val="4E61E092"/>
    <w:rsid w:val="4E7F865D"/>
    <w:rsid w:val="4EAED8D4"/>
    <w:rsid w:val="4EBC106F"/>
    <w:rsid w:val="4ECFD0ED"/>
    <w:rsid w:val="4F1C41AA"/>
    <w:rsid w:val="4F1F6820"/>
    <w:rsid w:val="4F213F9B"/>
    <w:rsid w:val="4F4A77FC"/>
    <w:rsid w:val="4F6A6674"/>
    <w:rsid w:val="4F9FADA3"/>
    <w:rsid w:val="4FA6AFFF"/>
    <w:rsid w:val="4FACAECD"/>
    <w:rsid w:val="4FB51C05"/>
    <w:rsid w:val="4FCE4FCF"/>
    <w:rsid w:val="4FE395CE"/>
    <w:rsid w:val="4FEE2A36"/>
    <w:rsid w:val="50154307"/>
    <w:rsid w:val="5015D18C"/>
    <w:rsid w:val="501863E5"/>
    <w:rsid w:val="5057C200"/>
    <w:rsid w:val="506611D2"/>
    <w:rsid w:val="5069AD9D"/>
    <w:rsid w:val="5079423F"/>
    <w:rsid w:val="509557C5"/>
    <w:rsid w:val="5098139C"/>
    <w:rsid w:val="509D3F10"/>
    <w:rsid w:val="50C88A4D"/>
    <w:rsid w:val="50E14597"/>
    <w:rsid w:val="5106636B"/>
    <w:rsid w:val="514836F4"/>
    <w:rsid w:val="515F9F23"/>
    <w:rsid w:val="517E777A"/>
    <w:rsid w:val="517E969F"/>
    <w:rsid w:val="5197FE26"/>
    <w:rsid w:val="51A5C720"/>
    <w:rsid w:val="51AE2CEC"/>
    <w:rsid w:val="51B2A7D3"/>
    <w:rsid w:val="51CD6CEA"/>
    <w:rsid w:val="51F174D6"/>
    <w:rsid w:val="51F7C038"/>
    <w:rsid w:val="520A40FA"/>
    <w:rsid w:val="52172344"/>
    <w:rsid w:val="523122CD"/>
    <w:rsid w:val="52725323"/>
    <w:rsid w:val="5298C1EC"/>
    <w:rsid w:val="52A1AF24"/>
    <w:rsid w:val="52AE4FBD"/>
    <w:rsid w:val="52C2F602"/>
    <w:rsid w:val="52E8566B"/>
    <w:rsid w:val="53236891"/>
    <w:rsid w:val="53536EED"/>
    <w:rsid w:val="539E3C30"/>
    <w:rsid w:val="53B27D4C"/>
    <w:rsid w:val="53BF6962"/>
    <w:rsid w:val="53DF4221"/>
    <w:rsid w:val="53E0C5A1"/>
    <w:rsid w:val="53F8421E"/>
    <w:rsid w:val="5424494C"/>
    <w:rsid w:val="54296941"/>
    <w:rsid w:val="543F3CBF"/>
    <w:rsid w:val="5474518F"/>
    <w:rsid w:val="547F3430"/>
    <w:rsid w:val="54EBD508"/>
    <w:rsid w:val="551E046F"/>
    <w:rsid w:val="555785B7"/>
    <w:rsid w:val="5565073E"/>
    <w:rsid w:val="5568A726"/>
    <w:rsid w:val="5569FD54"/>
    <w:rsid w:val="55C59782"/>
    <w:rsid w:val="560B13AD"/>
    <w:rsid w:val="562710AA"/>
    <w:rsid w:val="56293682"/>
    <w:rsid w:val="562D7459"/>
    <w:rsid w:val="56375922"/>
    <w:rsid w:val="56596E61"/>
    <w:rsid w:val="567F773F"/>
    <w:rsid w:val="56965A1E"/>
    <w:rsid w:val="56B3D805"/>
    <w:rsid w:val="56D30B4D"/>
    <w:rsid w:val="56E47967"/>
    <w:rsid w:val="57038E26"/>
    <w:rsid w:val="573B23DF"/>
    <w:rsid w:val="5759DFCE"/>
    <w:rsid w:val="577BDE45"/>
    <w:rsid w:val="5795FA95"/>
    <w:rsid w:val="57A303DB"/>
    <w:rsid w:val="57BC5EEA"/>
    <w:rsid w:val="57FAD909"/>
    <w:rsid w:val="5829948E"/>
    <w:rsid w:val="583074B6"/>
    <w:rsid w:val="583C9E27"/>
    <w:rsid w:val="585AB981"/>
    <w:rsid w:val="586A943E"/>
    <w:rsid w:val="587B262E"/>
    <w:rsid w:val="5882B458"/>
    <w:rsid w:val="5896699A"/>
    <w:rsid w:val="58A579C7"/>
    <w:rsid w:val="58B41275"/>
    <w:rsid w:val="58B7A9DD"/>
    <w:rsid w:val="58BF3ED0"/>
    <w:rsid w:val="58CA094D"/>
    <w:rsid w:val="59078D47"/>
    <w:rsid w:val="591438E1"/>
    <w:rsid w:val="5917E7A8"/>
    <w:rsid w:val="59254BA2"/>
    <w:rsid w:val="5950D1AE"/>
    <w:rsid w:val="597086BC"/>
    <w:rsid w:val="59E49CCE"/>
    <w:rsid w:val="59E5B4AD"/>
    <w:rsid w:val="5A190F59"/>
    <w:rsid w:val="5A28389D"/>
    <w:rsid w:val="5A63A699"/>
    <w:rsid w:val="5A68F508"/>
    <w:rsid w:val="5A7C362F"/>
    <w:rsid w:val="5A8C9F9D"/>
    <w:rsid w:val="5A91E695"/>
    <w:rsid w:val="5AB37F07"/>
    <w:rsid w:val="5AB8DA1C"/>
    <w:rsid w:val="5AEF0426"/>
    <w:rsid w:val="5B034261"/>
    <w:rsid w:val="5B1B65A6"/>
    <w:rsid w:val="5B2797DD"/>
    <w:rsid w:val="5B743EE9"/>
    <w:rsid w:val="5B80AB40"/>
    <w:rsid w:val="5BABC43F"/>
    <w:rsid w:val="5C08093D"/>
    <w:rsid w:val="5C4F4F68"/>
    <w:rsid w:val="5C83D692"/>
    <w:rsid w:val="5CCE79E0"/>
    <w:rsid w:val="5CE4E5B5"/>
    <w:rsid w:val="5CEE85F2"/>
    <w:rsid w:val="5D100F4A"/>
    <w:rsid w:val="5D19EEC4"/>
    <w:rsid w:val="5D2604D4"/>
    <w:rsid w:val="5D292474"/>
    <w:rsid w:val="5D43457E"/>
    <w:rsid w:val="5D680342"/>
    <w:rsid w:val="5DB34DEF"/>
    <w:rsid w:val="5DF9FF14"/>
    <w:rsid w:val="5E192193"/>
    <w:rsid w:val="5E59B8FF"/>
    <w:rsid w:val="5EA08595"/>
    <w:rsid w:val="5EC33F3E"/>
    <w:rsid w:val="5ED9D3CE"/>
    <w:rsid w:val="5EFC6DD5"/>
    <w:rsid w:val="5F06CCD9"/>
    <w:rsid w:val="5F3ED40F"/>
    <w:rsid w:val="5F432D1A"/>
    <w:rsid w:val="5F505D0E"/>
    <w:rsid w:val="5FC9D963"/>
    <w:rsid w:val="5FF630B8"/>
    <w:rsid w:val="60118746"/>
    <w:rsid w:val="6041B59B"/>
    <w:rsid w:val="604DF901"/>
    <w:rsid w:val="60560B2C"/>
    <w:rsid w:val="609A99A9"/>
    <w:rsid w:val="60A06864"/>
    <w:rsid w:val="60AE3A1E"/>
    <w:rsid w:val="60BAE54F"/>
    <w:rsid w:val="60D7072E"/>
    <w:rsid w:val="60DA12BD"/>
    <w:rsid w:val="60DAA470"/>
    <w:rsid w:val="60EEF400"/>
    <w:rsid w:val="6122793D"/>
    <w:rsid w:val="613D7E1D"/>
    <w:rsid w:val="6165D5C7"/>
    <w:rsid w:val="617546E1"/>
    <w:rsid w:val="618D7C50"/>
    <w:rsid w:val="619AE286"/>
    <w:rsid w:val="61A8674B"/>
    <w:rsid w:val="61D5ADDE"/>
    <w:rsid w:val="61E525E1"/>
    <w:rsid w:val="61E675E5"/>
    <w:rsid w:val="61EB7E3A"/>
    <w:rsid w:val="61FDF7E2"/>
    <w:rsid w:val="621D2C9C"/>
    <w:rsid w:val="623B0F58"/>
    <w:rsid w:val="62607149"/>
    <w:rsid w:val="6283F04B"/>
    <w:rsid w:val="62876658"/>
    <w:rsid w:val="62E6E912"/>
    <w:rsid w:val="62F6EBFD"/>
    <w:rsid w:val="632401E1"/>
    <w:rsid w:val="632CB5CC"/>
    <w:rsid w:val="6335F3BD"/>
    <w:rsid w:val="634B7C19"/>
    <w:rsid w:val="6352E68E"/>
    <w:rsid w:val="637CE994"/>
    <w:rsid w:val="63A604B6"/>
    <w:rsid w:val="63B253DF"/>
    <w:rsid w:val="63B70FBF"/>
    <w:rsid w:val="63BC1A2F"/>
    <w:rsid w:val="64053C68"/>
    <w:rsid w:val="640AAD4A"/>
    <w:rsid w:val="640B839B"/>
    <w:rsid w:val="6459EB64"/>
    <w:rsid w:val="651DB411"/>
    <w:rsid w:val="6537760D"/>
    <w:rsid w:val="6538E106"/>
    <w:rsid w:val="65500B18"/>
    <w:rsid w:val="65A3119E"/>
    <w:rsid w:val="65A67DAB"/>
    <w:rsid w:val="65DCE8F6"/>
    <w:rsid w:val="65E7994E"/>
    <w:rsid w:val="65FE5150"/>
    <w:rsid w:val="660421DD"/>
    <w:rsid w:val="667E5245"/>
    <w:rsid w:val="66813F7F"/>
    <w:rsid w:val="6690D9E3"/>
    <w:rsid w:val="66A60C92"/>
    <w:rsid w:val="66DAD5DC"/>
    <w:rsid w:val="670E58A8"/>
    <w:rsid w:val="67114B0A"/>
    <w:rsid w:val="6713674C"/>
    <w:rsid w:val="67340792"/>
    <w:rsid w:val="6744CBB4"/>
    <w:rsid w:val="679A21B1"/>
    <w:rsid w:val="67A899F3"/>
    <w:rsid w:val="6810E362"/>
    <w:rsid w:val="683AD118"/>
    <w:rsid w:val="684AF87B"/>
    <w:rsid w:val="687350D0"/>
    <w:rsid w:val="689B635A"/>
    <w:rsid w:val="69261FE4"/>
    <w:rsid w:val="6935F212"/>
    <w:rsid w:val="693B6B67"/>
    <w:rsid w:val="693D6533"/>
    <w:rsid w:val="69657A42"/>
    <w:rsid w:val="697AA01A"/>
    <w:rsid w:val="699BB655"/>
    <w:rsid w:val="699FAF39"/>
    <w:rsid w:val="69A0BFA0"/>
    <w:rsid w:val="69BAF341"/>
    <w:rsid w:val="6A09ED84"/>
    <w:rsid w:val="6A256F7B"/>
    <w:rsid w:val="6A401219"/>
    <w:rsid w:val="6A6EFADD"/>
    <w:rsid w:val="6A80DF5F"/>
    <w:rsid w:val="6AAA07E1"/>
    <w:rsid w:val="6AB0048B"/>
    <w:rsid w:val="6AC8113C"/>
    <w:rsid w:val="6AD776A8"/>
    <w:rsid w:val="6ADEDEB1"/>
    <w:rsid w:val="6AE931F5"/>
    <w:rsid w:val="6AEDDCF5"/>
    <w:rsid w:val="6AF99AE7"/>
    <w:rsid w:val="6B45A92D"/>
    <w:rsid w:val="6B851F04"/>
    <w:rsid w:val="6B8689AC"/>
    <w:rsid w:val="6B8813FE"/>
    <w:rsid w:val="6B8B3C09"/>
    <w:rsid w:val="6BA8A555"/>
    <w:rsid w:val="6BAA8BC3"/>
    <w:rsid w:val="6BB7D55E"/>
    <w:rsid w:val="6BBEF2CF"/>
    <w:rsid w:val="6BE033AC"/>
    <w:rsid w:val="6BE77F0C"/>
    <w:rsid w:val="6C070C98"/>
    <w:rsid w:val="6C14C2A8"/>
    <w:rsid w:val="6C3EC198"/>
    <w:rsid w:val="6C98B52B"/>
    <w:rsid w:val="6C9F0328"/>
    <w:rsid w:val="6CAC357A"/>
    <w:rsid w:val="6CD22FD8"/>
    <w:rsid w:val="6CEBE4F4"/>
    <w:rsid w:val="6D05D9DD"/>
    <w:rsid w:val="6D118CEA"/>
    <w:rsid w:val="6D295F95"/>
    <w:rsid w:val="6D341584"/>
    <w:rsid w:val="6D3BB835"/>
    <w:rsid w:val="6D676727"/>
    <w:rsid w:val="6D881729"/>
    <w:rsid w:val="6DAD06A1"/>
    <w:rsid w:val="6DDC11E1"/>
    <w:rsid w:val="6DF2F41E"/>
    <w:rsid w:val="6DFF343A"/>
    <w:rsid w:val="6DFFB1FE"/>
    <w:rsid w:val="6E1AEDF0"/>
    <w:rsid w:val="6E37099B"/>
    <w:rsid w:val="6E74DD4D"/>
    <w:rsid w:val="6E853C29"/>
    <w:rsid w:val="6EB03B62"/>
    <w:rsid w:val="6F03E542"/>
    <w:rsid w:val="6F9CE7C8"/>
    <w:rsid w:val="6FA39EFD"/>
    <w:rsid w:val="6FAA7BA8"/>
    <w:rsid w:val="6FC0584C"/>
    <w:rsid w:val="6FD2D9FC"/>
    <w:rsid w:val="6FEC4717"/>
    <w:rsid w:val="702AC234"/>
    <w:rsid w:val="706C9E0C"/>
    <w:rsid w:val="707ADDE1"/>
    <w:rsid w:val="709769DA"/>
    <w:rsid w:val="7097A743"/>
    <w:rsid w:val="70ADF2CE"/>
    <w:rsid w:val="70C2EE07"/>
    <w:rsid w:val="70C43409"/>
    <w:rsid w:val="70EAF3D2"/>
    <w:rsid w:val="711BB5B6"/>
    <w:rsid w:val="714057BC"/>
    <w:rsid w:val="7142DC38"/>
    <w:rsid w:val="714CB89A"/>
    <w:rsid w:val="71518396"/>
    <w:rsid w:val="71D2F86D"/>
    <w:rsid w:val="71EFC5A2"/>
    <w:rsid w:val="72139C44"/>
    <w:rsid w:val="722311AE"/>
    <w:rsid w:val="7229A9C0"/>
    <w:rsid w:val="723EA5BE"/>
    <w:rsid w:val="725C24BD"/>
    <w:rsid w:val="727CD9E1"/>
    <w:rsid w:val="729C8E03"/>
    <w:rsid w:val="72D43ECD"/>
    <w:rsid w:val="72E192C5"/>
    <w:rsid w:val="72E65BA3"/>
    <w:rsid w:val="72EAC015"/>
    <w:rsid w:val="72ED53F7"/>
    <w:rsid w:val="731BCE1E"/>
    <w:rsid w:val="7349E993"/>
    <w:rsid w:val="734D596F"/>
    <w:rsid w:val="7381DA52"/>
    <w:rsid w:val="73C7F958"/>
    <w:rsid w:val="740A39C2"/>
    <w:rsid w:val="740C5CED"/>
    <w:rsid w:val="741A7F27"/>
    <w:rsid w:val="741DB8E3"/>
    <w:rsid w:val="743F1630"/>
    <w:rsid w:val="74440995"/>
    <w:rsid w:val="745367C3"/>
    <w:rsid w:val="7483814D"/>
    <w:rsid w:val="748C75CA"/>
    <w:rsid w:val="74A5CF85"/>
    <w:rsid w:val="74E28C88"/>
    <w:rsid w:val="74E614B4"/>
    <w:rsid w:val="74E9E7D7"/>
    <w:rsid w:val="74F62405"/>
    <w:rsid w:val="750EC42C"/>
    <w:rsid w:val="7517E40D"/>
    <w:rsid w:val="75475A55"/>
    <w:rsid w:val="7557FB7C"/>
    <w:rsid w:val="755E76D5"/>
    <w:rsid w:val="75BEC1A1"/>
    <w:rsid w:val="75D336DC"/>
    <w:rsid w:val="75F2B732"/>
    <w:rsid w:val="75F94869"/>
    <w:rsid w:val="7619C07D"/>
    <w:rsid w:val="761E4340"/>
    <w:rsid w:val="76757E98"/>
    <w:rsid w:val="7685B838"/>
    <w:rsid w:val="76964FF0"/>
    <w:rsid w:val="769CBE29"/>
    <w:rsid w:val="76AC0AAF"/>
    <w:rsid w:val="76AE710E"/>
    <w:rsid w:val="76D3EE80"/>
    <w:rsid w:val="76F7B4FC"/>
    <w:rsid w:val="77292E4F"/>
    <w:rsid w:val="77417658"/>
    <w:rsid w:val="7765095D"/>
    <w:rsid w:val="779DF8C7"/>
    <w:rsid w:val="77B34EFE"/>
    <w:rsid w:val="77DE3ED6"/>
    <w:rsid w:val="780E7CC2"/>
    <w:rsid w:val="7897E5A3"/>
    <w:rsid w:val="78BECDFF"/>
    <w:rsid w:val="78C10165"/>
    <w:rsid w:val="78E83164"/>
    <w:rsid w:val="78EB4C13"/>
    <w:rsid w:val="78FA041C"/>
    <w:rsid w:val="78FA59C9"/>
    <w:rsid w:val="7905BEE3"/>
    <w:rsid w:val="790AD79E"/>
    <w:rsid w:val="794D0093"/>
    <w:rsid w:val="798A241D"/>
    <w:rsid w:val="7996E25F"/>
    <w:rsid w:val="79BD620C"/>
    <w:rsid w:val="7A07F8D7"/>
    <w:rsid w:val="7A0B51D5"/>
    <w:rsid w:val="7A339A82"/>
    <w:rsid w:val="7A362798"/>
    <w:rsid w:val="7A7470B0"/>
    <w:rsid w:val="7A9D2A22"/>
    <w:rsid w:val="7AB12077"/>
    <w:rsid w:val="7ABEC83D"/>
    <w:rsid w:val="7AC5EE02"/>
    <w:rsid w:val="7AC956A9"/>
    <w:rsid w:val="7ACFAFD4"/>
    <w:rsid w:val="7AE52B0B"/>
    <w:rsid w:val="7AE5DDEB"/>
    <w:rsid w:val="7B06AA6F"/>
    <w:rsid w:val="7B35D8D7"/>
    <w:rsid w:val="7C06287C"/>
    <w:rsid w:val="7C295003"/>
    <w:rsid w:val="7C39F874"/>
    <w:rsid w:val="7C3CC2E7"/>
    <w:rsid w:val="7C7B2113"/>
    <w:rsid w:val="7C7F551A"/>
    <w:rsid w:val="7C9775F1"/>
    <w:rsid w:val="7CA9FE1D"/>
    <w:rsid w:val="7CAFCA7C"/>
    <w:rsid w:val="7CC3C4F2"/>
    <w:rsid w:val="7CFBD415"/>
    <w:rsid w:val="7D0D61F9"/>
    <w:rsid w:val="7D3097F1"/>
    <w:rsid w:val="7D5CCCD2"/>
    <w:rsid w:val="7D5E5078"/>
    <w:rsid w:val="7D66830B"/>
    <w:rsid w:val="7DC805F3"/>
    <w:rsid w:val="7DDFFF60"/>
    <w:rsid w:val="7DE03370"/>
    <w:rsid w:val="7E3AD5C0"/>
    <w:rsid w:val="7E4E75E1"/>
    <w:rsid w:val="7E875D77"/>
    <w:rsid w:val="7E88AFD9"/>
    <w:rsid w:val="7E960437"/>
    <w:rsid w:val="7EDBAEDE"/>
    <w:rsid w:val="7EE2F4F6"/>
    <w:rsid w:val="7F63AF16"/>
    <w:rsid w:val="7F7C951C"/>
    <w:rsid w:val="7F913248"/>
    <w:rsid w:val="7FB16AFA"/>
    <w:rsid w:val="7FCD3401"/>
    <w:rsid w:val="7FD657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309E50"/>
  <w15:docId w15:val="{FBE542D7-E7B4-4490-B02A-ABC6AC91C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9FA"/>
    <w:rPr>
      <w:rFonts w:asciiTheme="minorHAnsi" w:hAnsiTheme="minorHAnsi"/>
      <w:sz w:val="24"/>
    </w:rPr>
  </w:style>
  <w:style w:type="paragraph" w:styleId="Heading1">
    <w:name w:val="heading 1"/>
    <w:basedOn w:val="Normal"/>
    <w:next w:val="Normal"/>
    <w:link w:val="Heading1Char"/>
    <w:uiPriority w:val="1"/>
    <w:qFormat/>
    <w:rsid w:val="00A01769"/>
    <w:pPr>
      <w:keepNext/>
      <w:spacing w:before="100" w:beforeAutospacing="1"/>
      <w:ind w:left="720" w:hanging="720"/>
      <w:outlineLvl w:val="0"/>
    </w:pPr>
    <w:rPr>
      <w:rFonts w:eastAsiaTheme="majorEastAsia" w:cstheme="minorHAnsi"/>
      <w:b/>
      <w:bCs/>
      <w:color w:val="0070C0"/>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eastAsiaTheme="minorEastAsia"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eastAsiaTheme="minorEastAsia"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eastAsiaTheme="minorEastAsia" w:cstheme="minorBidi"/>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eastAsiaTheme="minorEastAsia" w:cstheme="minorBidi"/>
      <w:i/>
      <w:iCs/>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01769"/>
    <w:rPr>
      <w:rFonts w:asciiTheme="minorHAnsi" w:eastAsiaTheme="majorEastAsia" w:hAnsiTheme="minorHAnsi" w:cstheme="minorHAnsi"/>
      <w:b/>
      <w:bCs/>
      <w:color w:val="0070C0"/>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rFonts w:asciiTheme="minorHAnsi" w:hAnsiTheme="minorHAnsi"/>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CommentReference">
    <w:name w:val="annotation reference"/>
    <w:basedOn w:val="DefaultParagraphFont"/>
    <w:uiPriority w:val="99"/>
    <w:unhideWhenUsed/>
    <w:rsid w:val="00AC3B74"/>
    <w:rPr>
      <w:sz w:val="16"/>
      <w:szCs w:val="16"/>
    </w:rPr>
  </w:style>
  <w:style w:type="paragraph" w:styleId="CommentText">
    <w:name w:val="annotation text"/>
    <w:basedOn w:val="Normal"/>
    <w:link w:val="CommentTextChar"/>
    <w:uiPriority w:val="99"/>
    <w:unhideWhenUsed/>
    <w:rsid w:val="00AC3B74"/>
  </w:style>
  <w:style w:type="character" w:customStyle="1" w:styleId="CommentTextChar">
    <w:name w:val="Comment Text Char"/>
    <w:basedOn w:val="DefaultParagraphFont"/>
    <w:link w:val="CommentText"/>
    <w:uiPriority w:val="99"/>
    <w:rsid w:val="00AC3B74"/>
  </w:style>
  <w:style w:type="paragraph" w:styleId="CommentSubject">
    <w:name w:val="annotation subject"/>
    <w:basedOn w:val="CommentText"/>
    <w:next w:val="CommentText"/>
    <w:link w:val="CommentSubjectChar"/>
    <w:semiHidden/>
    <w:unhideWhenUsed/>
    <w:rsid w:val="00AC3B74"/>
    <w:rPr>
      <w:b/>
      <w:bCs/>
    </w:rPr>
  </w:style>
  <w:style w:type="character" w:customStyle="1" w:styleId="CommentSubjectChar">
    <w:name w:val="Comment Subject Char"/>
    <w:basedOn w:val="CommentTextChar"/>
    <w:link w:val="CommentSubject"/>
    <w:semiHidden/>
    <w:rsid w:val="00AC3B74"/>
    <w:rPr>
      <w:b/>
      <w:bCs/>
    </w:rPr>
  </w:style>
  <w:style w:type="paragraph" w:styleId="BalloonText">
    <w:name w:val="Balloon Text"/>
    <w:basedOn w:val="Normal"/>
    <w:link w:val="BalloonTextChar"/>
    <w:semiHidden/>
    <w:unhideWhenUsed/>
    <w:rsid w:val="00AC3B74"/>
    <w:rPr>
      <w:rFonts w:ascii="Segoe UI" w:hAnsi="Segoe UI" w:cs="Segoe UI"/>
      <w:sz w:val="18"/>
      <w:szCs w:val="18"/>
    </w:rPr>
  </w:style>
  <w:style w:type="character" w:customStyle="1" w:styleId="BalloonTextChar">
    <w:name w:val="Balloon Text Char"/>
    <w:basedOn w:val="DefaultParagraphFont"/>
    <w:link w:val="BalloonText"/>
    <w:semiHidden/>
    <w:rsid w:val="00AC3B74"/>
    <w:rPr>
      <w:rFonts w:ascii="Segoe UI" w:hAnsi="Segoe UI" w:cs="Segoe UI"/>
      <w:sz w:val="18"/>
      <w:szCs w:val="18"/>
    </w:rPr>
  </w:style>
  <w:style w:type="paragraph" w:styleId="ListParagraph">
    <w:name w:val="List Paragraph"/>
    <w:aliases w:val="H3,3,POCG Table Text"/>
    <w:basedOn w:val="ListBullet"/>
    <w:link w:val="ListParagraphChar"/>
    <w:uiPriority w:val="1"/>
    <w:qFormat/>
    <w:rsid w:val="007008DE"/>
    <w:pPr>
      <w:numPr>
        <w:numId w:val="0"/>
      </w:numPr>
      <w:ind w:left="720" w:hanging="360"/>
      <w:contextualSpacing w:val="0"/>
    </w:pPr>
    <w:rPr>
      <w:sz w:val="22"/>
    </w:rPr>
  </w:style>
  <w:style w:type="character" w:customStyle="1" w:styleId="ListParagraphChar">
    <w:name w:val="List Paragraph Char"/>
    <w:aliases w:val="H3 Char,3 Char,POCG Table Text Char"/>
    <w:link w:val="ListParagraph"/>
    <w:rsid w:val="007008DE"/>
    <w:rPr>
      <w:sz w:val="22"/>
    </w:rPr>
  </w:style>
  <w:style w:type="paragraph" w:styleId="ListBullet">
    <w:name w:val="List Bullet"/>
    <w:basedOn w:val="Normal"/>
    <w:uiPriority w:val="99"/>
    <w:semiHidden/>
    <w:unhideWhenUsed/>
    <w:rsid w:val="007008DE"/>
    <w:pPr>
      <w:numPr>
        <w:numId w:val="2"/>
      </w:numPr>
      <w:contextualSpacing/>
    </w:pPr>
  </w:style>
  <w:style w:type="paragraph" w:styleId="Revision">
    <w:name w:val="Revision"/>
    <w:hidden/>
    <w:uiPriority w:val="99"/>
    <w:semiHidden/>
    <w:rsid w:val="00F11038"/>
  </w:style>
  <w:style w:type="character" w:styleId="Hyperlink">
    <w:name w:val="Hyperlink"/>
    <w:basedOn w:val="DefaultParagraphFont"/>
    <w:uiPriority w:val="99"/>
    <w:unhideWhenUsed/>
    <w:rsid w:val="002C0126"/>
    <w:rPr>
      <w:color w:val="0000FF" w:themeColor="hyperlink"/>
      <w:u w:val="single"/>
    </w:rPr>
  </w:style>
  <w:style w:type="character" w:customStyle="1" w:styleId="UnresolvedMention1">
    <w:name w:val="Unresolved Mention1"/>
    <w:basedOn w:val="DefaultParagraphFont"/>
    <w:uiPriority w:val="99"/>
    <w:semiHidden/>
    <w:unhideWhenUsed/>
    <w:rsid w:val="002C0126"/>
    <w:rPr>
      <w:color w:val="808080"/>
      <w:shd w:val="clear" w:color="auto" w:fill="E6E6E6"/>
    </w:rPr>
  </w:style>
  <w:style w:type="paragraph" w:styleId="Header">
    <w:name w:val="header"/>
    <w:basedOn w:val="Normal"/>
    <w:link w:val="HeaderChar"/>
    <w:unhideWhenUsed/>
    <w:rsid w:val="00B65FE1"/>
    <w:pPr>
      <w:tabs>
        <w:tab w:val="center" w:pos="4680"/>
        <w:tab w:val="right" w:pos="9360"/>
      </w:tabs>
    </w:pPr>
  </w:style>
  <w:style w:type="character" w:customStyle="1" w:styleId="HeaderChar">
    <w:name w:val="Header Char"/>
    <w:basedOn w:val="DefaultParagraphFont"/>
    <w:link w:val="Header"/>
    <w:rsid w:val="00B65FE1"/>
  </w:style>
  <w:style w:type="paragraph" w:styleId="Footer">
    <w:name w:val="footer"/>
    <w:basedOn w:val="Normal"/>
    <w:link w:val="FooterChar"/>
    <w:uiPriority w:val="99"/>
    <w:unhideWhenUsed/>
    <w:rsid w:val="00B65FE1"/>
    <w:pPr>
      <w:tabs>
        <w:tab w:val="center" w:pos="4680"/>
        <w:tab w:val="right" w:pos="9360"/>
      </w:tabs>
    </w:pPr>
  </w:style>
  <w:style w:type="character" w:customStyle="1" w:styleId="FooterChar">
    <w:name w:val="Footer Char"/>
    <w:basedOn w:val="DefaultParagraphFont"/>
    <w:link w:val="Footer"/>
    <w:uiPriority w:val="99"/>
    <w:rsid w:val="00B65FE1"/>
  </w:style>
  <w:style w:type="paragraph" w:customStyle="1" w:styleId="ContinuedBlockLabel">
    <w:name w:val="Continued Block Label"/>
    <w:basedOn w:val="Normal"/>
    <w:next w:val="Normal"/>
    <w:link w:val="ContinuedBlockLabelChar"/>
    <w:rsid w:val="00935419"/>
    <w:pPr>
      <w:spacing w:after="240"/>
    </w:pPr>
    <w:rPr>
      <w:rFonts w:eastAsiaTheme="minorHAnsi"/>
      <w:b/>
      <w:color w:val="000000"/>
      <w:sz w:val="22"/>
      <w:szCs w:val="22"/>
    </w:rPr>
  </w:style>
  <w:style w:type="character" w:customStyle="1" w:styleId="ContinuedBlockLabelChar">
    <w:name w:val="Continued Block Label Char"/>
    <w:basedOn w:val="DefaultParagraphFont"/>
    <w:link w:val="ContinuedBlockLabel"/>
    <w:rsid w:val="00935419"/>
    <w:rPr>
      <w:rFonts w:eastAsiaTheme="minorHAnsi"/>
      <w:b/>
      <w:color w:val="000000"/>
      <w:sz w:val="22"/>
      <w:szCs w:val="22"/>
    </w:rPr>
  </w:style>
  <w:style w:type="paragraph" w:customStyle="1" w:styleId="BulletText1">
    <w:name w:val="Bullet Text 1"/>
    <w:basedOn w:val="Normal"/>
    <w:link w:val="BulletText1Char"/>
    <w:rsid w:val="00935419"/>
    <w:pPr>
      <w:numPr>
        <w:numId w:val="3"/>
      </w:numPr>
    </w:pPr>
    <w:rPr>
      <w:rFonts w:eastAsiaTheme="minorHAnsi"/>
      <w:color w:val="000000"/>
      <w:szCs w:val="22"/>
    </w:rPr>
  </w:style>
  <w:style w:type="character" w:customStyle="1" w:styleId="BulletText1Char">
    <w:name w:val="Bullet Text 1 Char"/>
    <w:basedOn w:val="DefaultParagraphFont"/>
    <w:link w:val="BulletText1"/>
    <w:rsid w:val="00935419"/>
    <w:rPr>
      <w:rFonts w:asciiTheme="minorHAnsi" w:eastAsiaTheme="minorHAnsi" w:hAnsiTheme="minorHAnsi"/>
      <w:color w:val="000000"/>
      <w:sz w:val="24"/>
      <w:szCs w:val="22"/>
    </w:rPr>
  </w:style>
  <w:style w:type="paragraph" w:customStyle="1" w:styleId="BulletText2">
    <w:name w:val="Bullet Text 2"/>
    <w:basedOn w:val="Normal"/>
    <w:rsid w:val="00935419"/>
    <w:pPr>
      <w:numPr>
        <w:ilvl w:val="1"/>
        <w:numId w:val="3"/>
      </w:numPr>
    </w:pPr>
    <w:rPr>
      <w:rFonts w:eastAsiaTheme="minorHAnsi"/>
      <w:color w:val="000000"/>
      <w:szCs w:val="22"/>
    </w:rPr>
  </w:style>
  <w:style w:type="paragraph" w:customStyle="1" w:styleId="BulletText3">
    <w:name w:val="Bullet Text 3"/>
    <w:basedOn w:val="Normal"/>
    <w:rsid w:val="00935419"/>
    <w:pPr>
      <w:numPr>
        <w:ilvl w:val="2"/>
        <w:numId w:val="3"/>
      </w:numPr>
    </w:pPr>
    <w:rPr>
      <w:rFonts w:eastAsiaTheme="minorHAnsi"/>
      <w:color w:val="000000"/>
      <w:szCs w:val="22"/>
    </w:rPr>
  </w:style>
  <w:style w:type="numbering" w:customStyle="1" w:styleId="BulletTextList">
    <w:name w:val="Bullet Text List"/>
    <w:basedOn w:val="NoList"/>
    <w:rsid w:val="00935419"/>
    <w:pPr>
      <w:numPr>
        <w:numId w:val="3"/>
      </w:numPr>
    </w:pPr>
  </w:style>
  <w:style w:type="character" w:styleId="FollowedHyperlink">
    <w:name w:val="FollowedHyperlink"/>
    <w:basedOn w:val="DefaultParagraphFont"/>
    <w:uiPriority w:val="99"/>
    <w:semiHidden/>
    <w:unhideWhenUsed/>
    <w:rsid w:val="00F87D9C"/>
    <w:rPr>
      <w:color w:val="800080" w:themeColor="followedHyperlink"/>
      <w:u w:val="single"/>
    </w:rPr>
  </w:style>
  <w:style w:type="character" w:customStyle="1" w:styleId="def">
    <w:name w:val="def"/>
    <w:basedOn w:val="DefaultParagraphFont"/>
    <w:rsid w:val="00D007FC"/>
  </w:style>
  <w:style w:type="table" w:styleId="TableGrid">
    <w:name w:val="Table Grid"/>
    <w:basedOn w:val="TableNormal"/>
    <w:rsid w:val="004B26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A83E6E"/>
    <w:pPr>
      <w:keepNext/>
      <w:suppressAutoHyphens/>
      <w:spacing w:line="276" w:lineRule="auto"/>
    </w:pPr>
    <w:rPr>
      <w:rFonts w:ascii="Arial" w:eastAsia="Arial" w:hAnsi="Arial" w:cs="Arial"/>
      <w:color w:val="000000"/>
      <w:sz w:val="22"/>
      <w:szCs w:val="22"/>
      <w:u w:color="000000"/>
      <w:lang w:eastAsia="ar-SA"/>
    </w:rPr>
  </w:style>
  <w:style w:type="character" w:customStyle="1" w:styleId="CommentTextChar1">
    <w:name w:val="Comment Text Char1"/>
    <w:uiPriority w:val="99"/>
    <w:rsid w:val="00A83E6E"/>
    <w:rPr>
      <w:rFonts w:ascii="Calibri" w:eastAsia="Arial Unicode MS" w:hAnsi="Calibri" w:cs="Times New Roman"/>
      <w:color w:val="00000A"/>
      <w:sz w:val="20"/>
      <w:szCs w:val="20"/>
      <w:lang w:eastAsia="ar-SA"/>
    </w:rPr>
  </w:style>
  <w:style w:type="character" w:customStyle="1" w:styleId="normaltextrun">
    <w:name w:val="normaltextrun"/>
    <w:basedOn w:val="DefaultParagraphFont"/>
    <w:rsid w:val="00A83E6E"/>
  </w:style>
  <w:style w:type="paragraph" w:styleId="BodyText">
    <w:name w:val="Body Text"/>
    <w:basedOn w:val="Normal"/>
    <w:link w:val="BodyTextChar"/>
    <w:uiPriority w:val="1"/>
    <w:unhideWhenUsed/>
    <w:qFormat/>
    <w:rsid w:val="007A437A"/>
  </w:style>
  <w:style w:type="character" w:customStyle="1" w:styleId="BodyTextChar">
    <w:name w:val="Body Text Char"/>
    <w:basedOn w:val="DefaultParagraphFont"/>
    <w:link w:val="BodyText"/>
    <w:uiPriority w:val="1"/>
    <w:rsid w:val="007A437A"/>
  </w:style>
  <w:style w:type="paragraph" w:styleId="NormalWeb">
    <w:name w:val="Normal (Web)"/>
    <w:basedOn w:val="Normal"/>
    <w:uiPriority w:val="99"/>
    <w:unhideWhenUsed/>
    <w:rsid w:val="00A451B6"/>
    <w:pPr>
      <w:spacing w:before="100" w:beforeAutospacing="1" w:after="100" w:afterAutospacing="1"/>
    </w:pPr>
    <w:rPr>
      <w:szCs w:val="24"/>
    </w:rPr>
  </w:style>
  <w:style w:type="paragraph" w:styleId="FootnoteText">
    <w:name w:val="footnote text"/>
    <w:basedOn w:val="Normal"/>
    <w:link w:val="FootnoteTextChar"/>
    <w:uiPriority w:val="99"/>
    <w:unhideWhenUsed/>
    <w:rsid w:val="00A254BD"/>
    <w:rPr>
      <w:rFonts w:ascii="Arial" w:hAnsi="Arial"/>
      <w:sz w:val="20"/>
    </w:rPr>
  </w:style>
  <w:style w:type="character" w:customStyle="1" w:styleId="FootnoteTextChar">
    <w:name w:val="Footnote Text Char"/>
    <w:basedOn w:val="DefaultParagraphFont"/>
    <w:link w:val="FootnoteText"/>
    <w:uiPriority w:val="99"/>
    <w:rsid w:val="00A254BD"/>
    <w:rPr>
      <w:rFonts w:ascii="Arial" w:hAnsi="Arial"/>
    </w:rPr>
  </w:style>
  <w:style w:type="character" w:styleId="FootnoteReference">
    <w:name w:val="footnote reference"/>
    <w:basedOn w:val="DefaultParagraphFont"/>
    <w:uiPriority w:val="99"/>
    <w:unhideWhenUsed/>
    <w:rsid w:val="00A254BD"/>
    <w:rPr>
      <w:vertAlign w:val="superscript"/>
    </w:rPr>
  </w:style>
  <w:style w:type="character" w:styleId="UnresolvedMention">
    <w:name w:val="Unresolved Mention"/>
    <w:basedOn w:val="DefaultParagraphFont"/>
    <w:uiPriority w:val="99"/>
    <w:semiHidden/>
    <w:unhideWhenUsed/>
    <w:rsid w:val="00126C72"/>
    <w:rPr>
      <w:color w:val="605E5C"/>
      <w:shd w:val="clear" w:color="auto" w:fill="E1DFDD"/>
    </w:rPr>
  </w:style>
  <w:style w:type="character" w:styleId="Mention">
    <w:name w:val="Mention"/>
    <w:basedOn w:val="DefaultParagraphFont"/>
    <w:uiPriority w:val="99"/>
    <w:unhideWhenUsed/>
    <w:rsid w:val="007E66F7"/>
    <w:rPr>
      <w:color w:val="2B579A"/>
      <w:shd w:val="clear" w:color="auto" w:fill="E1DFDD"/>
    </w:rPr>
  </w:style>
  <w:style w:type="character" w:customStyle="1" w:styleId="Instructions">
    <w:name w:val="Instructions"/>
    <w:basedOn w:val="DefaultParagraphFont"/>
    <w:uiPriority w:val="1"/>
    <w:qFormat/>
    <w:rsid w:val="003454B9"/>
    <w:rPr>
      <w:rFonts w:asciiTheme="minorHAnsi" w:hAnsiTheme="minorHAnsi"/>
      <w:i/>
      <w:iCs/>
      <w:color w:val="0070C0"/>
      <w:sz w:val="24"/>
    </w:rPr>
  </w:style>
  <w:style w:type="character" w:styleId="PageNumber">
    <w:name w:val="page number"/>
    <w:basedOn w:val="DefaultParagraphFont"/>
    <w:uiPriority w:val="99"/>
    <w:semiHidden/>
    <w:unhideWhenUsed/>
    <w:rsid w:val="00D65C88"/>
  </w:style>
  <w:style w:type="paragraph" w:styleId="Title">
    <w:name w:val="Title"/>
    <w:basedOn w:val="Normal"/>
    <w:next w:val="Normal"/>
    <w:link w:val="TitleChar"/>
    <w:uiPriority w:val="10"/>
    <w:qFormat/>
    <w:rsid w:val="00EF73AB"/>
    <w:pPr>
      <w:spacing w:before="100" w:beforeAutospacing="1" w:after="100" w:afterAutospacing="1"/>
      <w:contextualSpacing/>
      <w:jc w:val="center"/>
    </w:pPr>
    <w:rPr>
      <w:rFonts w:eastAsiaTheme="majorEastAsia" w:cstheme="minorHAnsi"/>
      <w:b/>
      <w:bCs/>
      <w:spacing w:val="-10"/>
      <w:kern w:val="28"/>
      <w:sz w:val="36"/>
      <w:szCs w:val="36"/>
    </w:rPr>
  </w:style>
  <w:style w:type="character" w:customStyle="1" w:styleId="TitleChar">
    <w:name w:val="Title Char"/>
    <w:basedOn w:val="DefaultParagraphFont"/>
    <w:link w:val="Title"/>
    <w:uiPriority w:val="10"/>
    <w:rsid w:val="00EF73AB"/>
    <w:rPr>
      <w:rFonts w:asciiTheme="minorHAnsi" w:eastAsiaTheme="majorEastAsia" w:hAnsiTheme="minorHAnsi" w:cstheme="minorHAnsi"/>
      <w:b/>
      <w:bCs/>
      <w:spacing w:val="-10"/>
      <w:kern w:val="28"/>
      <w:sz w:val="36"/>
      <w:szCs w:val="36"/>
    </w:rPr>
  </w:style>
  <w:style w:type="paragraph" w:styleId="NoSpacing">
    <w:name w:val="No Spacing"/>
    <w:uiPriority w:val="1"/>
    <w:qFormat/>
    <w:rsid w:val="0055508F"/>
    <w:rPr>
      <w:sz w:val="24"/>
    </w:rPr>
  </w:style>
  <w:style w:type="character" w:customStyle="1" w:styleId="Additions">
    <w:name w:val="Additions"/>
    <w:basedOn w:val="DefaultParagraphFont"/>
    <w:uiPriority w:val="1"/>
    <w:qFormat/>
    <w:rsid w:val="003454B9"/>
    <w:rPr>
      <w:rFonts w:asciiTheme="minorHAnsi" w:hAnsiTheme="minorHAnsi"/>
      <w:color w:val="auto"/>
      <w:sz w:val="24"/>
      <w:u w:val="single"/>
    </w:rPr>
  </w:style>
  <w:style w:type="character" w:customStyle="1" w:styleId="Deletions">
    <w:name w:val="Deletions"/>
    <w:basedOn w:val="Additions"/>
    <w:uiPriority w:val="1"/>
    <w:qFormat/>
    <w:rsid w:val="003454B9"/>
    <w:rPr>
      <w:rFonts w:asciiTheme="minorHAnsi" w:hAnsiTheme="minorHAnsi"/>
      <w:strike/>
      <w:dstrike w:val="0"/>
      <w:color w:val="auto"/>
      <w:sz w:val="24"/>
      <w:u w:val="none"/>
    </w:rPr>
  </w:style>
  <w:style w:type="paragraph" w:customStyle="1" w:styleId="Header1">
    <w:name w:val="Header1"/>
    <w:rsid w:val="007449C6"/>
    <w:pPr>
      <w:tabs>
        <w:tab w:val="center" w:pos="4320"/>
        <w:tab w:val="right" w:pos="8640"/>
      </w:tabs>
    </w:pPr>
    <w:rPr>
      <w:rFonts w:ascii="Arial" w:eastAsia="ヒラギノ角ゴ Pro W3" w:hAnsi="Arial"/>
      <w:color w:val="000000"/>
      <w:sz w:val="24"/>
    </w:rPr>
  </w:style>
  <w:style w:type="paragraph" w:customStyle="1" w:styleId="FreeForm">
    <w:name w:val="Free Form"/>
    <w:rsid w:val="007449C6"/>
    <w:rPr>
      <w:rFonts w:eastAsia="ヒラギノ角ゴ Pro W3"/>
      <w:color w:val="000000"/>
      <w:sz w:val="22"/>
    </w:rPr>
  </w:style>
  <w:style w:type="paragraph" w:customStyle="1" w:styleId="Heading71">
    <w:name w:val="Heading 71"/>
    <w:next w:val="Normal"/>
    <w:rsid w:val="007449C6"/>
    <w:pPr>
      <w:keepNext/>
      <w:spacing w:before="540" w:line="300" w:lineRule="auto"/>
      <w:jc w:val="center"/>
      <w:outlineLvl w:val="6"/>
    </w:pPr>
    <w:rPr>
      <w:rFonts w:ascii="Arial Bold" w:eastAsia="ヒラギノ角ゴ Pro W3" w:hAnsi="Arial Bold"/>
      <w:color w:val="000000"/>
      <w:sz w:val="24"/>
    </w:rPr>
  </w:style>
  <w:style w:type="paragraph" w:customStyle="1" w:styleId="BodyText1">
    <w:name w:val="Body Text1"/>
    <w:rsid w:val="007449C6"/>
    <w:pPr>
      <w:jc w:val="both"/>
    </w:pPr>
    <w:rPr>
      <w:rFonts w:ascii="Courier New" w:eastAsia="ヒラギノ角ゴ Pro W3" w:hAnsi="Courier New"/>
      <w:color w:val="000000"/>
      <w:sz w:val="24"/>
    </w:rPr>
  </w:style>
  <w:style w:type="paragraph" w:customStyle="1" w:styleId="Heading41">
    <w:name w:val="Heading 41"/>
    <w:next w:val="Normal"/>
    <w:rsid w:val="007449C6"/>
    <w:pPr>
      <w:keepNext/>
      <w:ind w:left="1440" w:hanging="1440"/>
      <w:jc w:val="both"/>
      <w:outlineLvl w:val="3"/>
    </w:pPr>
    <w:rPr>
      <w:rFonts w:ascii="Arial Bold" w:eastAsia="ヒラギノ角ゴ Pro W3" w:hAnsi="Arial Bold"/>
      <w:color w:val="000000"/>
      <w:sz w:val="24"/>
    </w:rPr>
  </w:style>
  <w:style w:type="paragraph" w:customStyle="1" w:styleId="Heading21">
    <w:name w:val="Heading 21"/>
    <w:next w:val="Normal"/>
    <w:rsid w:val="007449C6"/>
    <w:pPr>
      <w:keepNext/>
      <w:outlineLvl w:val="1"/>
    </w:pPr>
    <w:rPr>
      <w:rFonts w:ascii="Courier New" w:eastAsia="ヒラギノ角ゴ Pro W3" w:hAnsi="Courier New"/>
      <w:color w:val="000000"/>
      <w:sz w:val="24"/>
      <w:u w:val="single"/>
    </w:rPr>
  </w:style>
  <w:style w:type="paragraph" w:customStyle="1" w:styleId="p1">
    <w:name w:val="p1"/>
    <w:basedOn w:val="Normal"/>
    <w:rsid w:val="007449C6"/>
    <w:pPr>
      <w:spacing w:after="240" w:line="384" w:lineRule="atLeast"/>
    </w:pPr>
    <w:rPr>
      <w:rFonts w:ascii="Arial" w:hAnsi="Arial" w:cs="Arial"/>
      <w:color w:val="000000"/>
      <w:sz w:val="19"/>
      <w:szCs w:val="19"/>
    </w:rPr>
  </w:style>
  <w:style w:type="paragraph" w:customStyle="1" w:styleId="Default">
    <w:name w:val="Default"/>
    <w:rsid w:val="007449C6"/>
    <w:pPr>
      <w:autoSpaceDE w:val="0"/>
      <w:autoSpaceDN w:val="0"/>
      <w:adjustRightInd w:val="0"/>
    </w:pPr>
    <w:rPr>
      <w:rFonts w:eastAsia="Cambria"/>
      <w:color w:val="000000"/>
      <w:sz w:val="24"/>
      <w:szCs w:val="24"/>
    </w:rPr>
  </w:style>
  <w:style w:type="character" w:customStyle="1" w:styleId="Strikethrough">
    <w:name w:val="Strikethrough"/>
    <w:rsid w:val="007449C6"/>
    <w:rPr>
      <w:strike/>
    </w:rPr>
  </w:style>
  <w:style w:type="character" w:styleId="Strong">
    <w:name w:val="Strong"/>
    <w:qFormat/>
    <w:rsid w:val="007449C6"/>
    <w:rPr>
      <w:b/>
      <w:bCs/>
    </w:rPr>
  </w:style>
  <w:style w:type="character" w:customStyle="1" w:styleId="eop">
    <w:name w:val="eop"/>
    <w:basedOn w:val="DefaultParagraphFont"/>
    <w:rsid w:val="007449C6"/>
  </w:style>
  <w:style w:type="paragraph" w:customStyle="1" w:styleId="paragraph">
    <w:name w:val="paragraph"/>
    <w:basedOn w:val="Normal"/>
    <w:rsid w:val="007449C6"/>
    <w:pPr>
      <w:spacing w:before="100" w:beforeAutospacing="1" w:after="100" w:afterAutospacing="1"/>
    </w:pPr>
    <w:rPr>
      <w:rFonts w:ascii="Times New Roman" w:hAnsi="Times New Roman"/>
      <w:szCs w:val="24"/>
    </w:rPr>
  </w:style>
  <w:style w:type="table" w:customStyle="1" w:styleId="TableGrid11">
    <w:name w:val="Table Grid11"/>
    <w:basedOn w:val="TableNormal"/>
    <w:next w:val="TableGrid"/>
    <w:uiPriority w:val="59"/>
    <w:rsid w:val="007449C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44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Bold">
    <w:name w:val="Style Bold"/>
    <w:rsid w:val="007449C6"/>
    <w:rPr>
      <w:b/>
      <w:bCs/>
    </w:rPr>
  </w:style>
  <w:style w:type="table" w:customStyle="1" w:styleId="TableGrid1">
    <w:name w:val="Table Grid1"/>
    <w:basedOn w:val="TableNormal"/>
    <w:next w:val="TableGrid"/>
    <w:uiPriority w:val="59"/>
    <w:rsid w:val="007449C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uiPriority w:val="99"/>
    <w:semiHidden/>
    <w:unhideWhenUsed/>
    <w:rsid w:val="007449C6"/>
    <w:pPr>
      <w:ind w:left="240" w:hanging="240"/>
    </w:pPr>
    <w:rPr>
      <w:rFonts w:ascii="Times New Roman" w:hAnsi="Times New Roman"/>
      <w:szCs w:val="22"/>
    </w:rPr>
  </w:style>
  <w:style w:type="paragraph" w:customStyle="1" w:styleId="Style1">
    <w:name w:val="Style1"/>
    <w:qFormat/>
    <w:rsid w:val="007449C6"/>
    <w:pPr>
      <w:spacing w:after="160" w:line="259" w:lineRule="auto"/>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991054">
      <w:bodyDiv w:val="1"/>
      <w:marLeft w:val="0"/>
      <w:marRight w:val="0"/>
      <w:marTop w:val="0"/>
      <w:marBottom w:val="0"/>
      <w:divBdr>
        <w:top w:val="none" w:sz="0" w:space="0" w:color="auto"/>
        <w:left w:val="none" w:sz="0" w:space="0" w:color="auto"/>
        <w:bottom w:val="none" w:sz="0" w:space="0" w:color="auto"/>
        <w:right w:val="none" w:sz="0" w:space="0" w:color="auto"/>
      </w:divBdr>
    </w:div>
    <w:div w:id="400754597">
      <w:bodyDiv w:val="1"/>
      <w:marLeft w:val="0"/>
      <w:marRight w:val="0"/>
      <w:marTop w:val="0"/>
      <w:marBottom w:val="0"/>
      <w:divBdr>
        <w:top w:val="none" w:sz="0" w:space="0" w:color="auto"/>
        <w:left w:val="none" w:sz="0" w:space="0" w:color="auto"/>
        <w:bottom w:val="none" w:sz="0" w:space="0" w:color="auto"/>
        <w:right w:val="none" w:sz="0" w:space="0" w:color="auto"/>
      </w:divBdr>
    </w:div>
    <w:div w:id="475338532">
      <w:bodyDiv w:val="1"/>
      <w:marLeft w:val="0"/>
      <w:marRight w:val="0"/>
      <w:marTop w:val="0"/>
      <w:marBottom w:val="0"/>
      <w:divBdr>
        <w:top w:val="none" w:sz="0" w:space="0" w:color="auto"/>
        <w:left w:val="none" w:sz="0" w:space="0" w:color="auto"/>
        <w:bottom w:val="none" w:sz="0" w:space="0" w:color="auto"/>
        <w:right w:val="none" w:sz="0" w:space="0" w:color="auto"/>
      </w:divBdr>
      <w:divsChild>
        <w:div w:id="1750342895">
          <w:marLeft w:val="0"/>
          <w:marRight w:val="0"/>
          <w:marTop w:val="0"/>
          <w:marBottom w:val="0"/>
          <w:divBdr>
            <w:top w:val="none" w:sz="0" w:space="0" w:color="auto"/>
            <w:left w:val="none" w:sz="0" w:space="0" w:color="auto"/>
            <w:bottom w:val="none" w:sz="0" w:space="0" w:color="auto"/>
            <w:right w:val="none" w:sz="0" w:space="0" w:color="auto"/>
          </w:divBdr>
          <w:divsChild>
            <w:div w:id="894505661">
              <w:marLeft w:val="0"/>
              <w:marRight w:val="0"/>
              <w:marTop w:val="0"/>
              <w:marBottom w:val="0"/>
              <w:divBdr>
                <w:top w:val="none" w:sz="0" w:space="0" w:color="auto"/>
                <w:left w:val="none" w:sz="0" w:space="0" w:color="auto"/>
                <w:bottom w:val="none" w:sz="0" w:space="0" w:color="auto"/>
                <w:right w:val="none" w:sz="0" w:space="0" w:color="auto"/>
              </w:divBdr>
              <w:divsChild>
                <w:div w:id="1581133562">
                  <w:marLeft w:val="0"/>
                  <w:marRight w:val="0"/>
                  <w:marTop w:val="0"/>
                  <w:marBottom w:val="0"/>
                  <w:divBdr>
                    <w:top w:val="none" w:sz="0" w:space="0" w:color="auto"/>
                    <w:left w:val="none" w:sz="0" w:space="0" w:color="auto"/>
                    <w:bottom w:val="none" w:sz="0" w:space="0" w:color="auto"/>
                    <w:right w:val="none" w:sz="0" w:space="0" w:color="auto"/>
                  </w:divBdr>
                  <w:divsChild>
                    <w:div w:id="163899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145183">
      <w:bodyDiv w:val="1"/>
      <w:marLeft w:val="0"/>
      <w:marRight w:val="0"/>
      <w:marTop w:val="0"/>
      <w:marBottom w:val="0"/>
      <w:divBdr>
        <w:top w:val="none" w:sz="0" w:space="0" w:color="auto"/>
        <w:left w:val="none" w:sz="0" w:space="0" w:color="auto"/>
        <w:bottom w:val="none" w:sz="0" w:space="0" w:color="auto"/>
        <w:right w:val="none" w:sz="0" w:space="0" w:color="auto"/>
      </w:divBdr>
    </w:div>
    <w:div w:id="826898652">
      <w:bodyDiv w:val="1"/>
      <w:marLeft w:val="0"/>
      <w:marRight w:val="0"/>
      <w:marTop w:val="0"/>
      <w:marBottom w:val="0"/>
      <w:divBdr>
        <w:top w:val="none" w:sz="0" w:space="0" w:color="auto"/>
        <w:left w:val="none" w:sz="0" w:space="0" w:color="auto"/>
        <w:bottom w:val="none" w:sz="0" w:space="0" w:color="auto"/>
        <w:right w:val="none" w:sz="0" w:space="0" w:color="auto"/>
      </w:divBdr>
      <w:divsChild>
        <w:div w:id="504369354">
          <w:marLeft w:val="0"/>
          <w:marRight w:val="0"/>
          <w:marTop w:val="0"/>
          <w:marBottom w:val="0"/>
          <w:divBdr>
            <w:top w:val="none" w:sz="0" w:space="0" w:color="auto"/>
            <w:left w:val="none" w:sz="0" w:space="0" w:color="auto"/>
            <w:bottom w:val="none" w:sz="0" w:space="0" w:color="auto"/>
            <w:right w:val="none" w:sz="0" w:space="0" w:color="auto"/>
          </w:divBdr>
          <w:divsChild>
            <w:div w:id="369305910">
              <w:marLeft w:val="0"/>
              <w:marRight w:val="0"/>
              <w:marTop w:val="0"/>
              <w:marBottom w:val="0"/>
              <w:divBdr>
                <w:top w:val="none" w:sz="0" w:space="0" w:color="auto"/>
                <w:left w:val="none" w:sz="0" w:space="0" w:color="auto"/>
                <w:bottom w:val="none" w:sz="0" w:space="0" w:color="auto"/>
                <w:right w:val="none" w:sz="0" w:space="0" w:color="auto"/>
              </w:divBdr>
              <w:divsChild>
                <w:div w:id="391199659">
                  <w:marLeft w:val="0"/>
                  <w:marRight w:val="0"/>
                  <w:marTop w:val="0"/>
                  <w:marBottom w:val="0"/>
                  <w:divBdr>
                    <w:top w:val="none" w:sz="0" w:space="0" w:color="auto"/>
                    <w:left w:val="none" w:sz="0" w:space="0" w:color="auto"/>
                    <w:bottom w:val="none" w:sz="0" w:space="0" w:color="auto"/>
                    <w:right w:val="none" w:sz="0" w:space="0" w:color="auto"/>
                  </w:divBdr>
                  <w:divsChild>
                    <w:div w:id="17824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646427">
      <w:bodyDiv w:val="1"/>
      <w:marLeft w:val="0"/>
      <w:marRight w:val="0"/>
      <w:marTop w:val="0"/>
      <w:marBottom w:val="0"/>
      <w:divBdr>
        <w:top w:val="none" w:sz="0" w:space="0" w:color="auto"/>
        <w:left w:val="none" w:sz="0" w:space="0" w:color="auto"/>
        <w:bottom w:val="none" w:sz="0" w:space="0" w:color="auto"/>
        <w:right w:val="none" w:sz="0" w:space="0" w:color="auto"/>
      </w:divBdr>
      <w:divsChild>
        <w:div w:id="1575124231">
          <w:marLeft w:val="0"/>
          <w:marRight w:val="0"/>
          <w:marTop w:val="0"/>
          <w:marBottom w:val="0"/>
          <w:divBdr>
            <w:top w:val="none" w:sz="0" w:space="0" w:color="auto"/>
            <w:left w:val="none" w:sz="0" w:space="0" w:color="auto"/>
            <w:bottom w:val="none" w:sz="0" w:space="0" w:color="auto"/>
            <w:right w:val="none" w:sz="0" w:space="0" w:color="auto"/>
          </w:divBdr>
          <w:divsChild>
            <w:div w:id="715161107">
              <w:marLeft w:val="0"/>
              <w:marRight w:val="0"/>
              <w:marTop w:val="0"/>
              <w:marBottom w:val="0"/>
              <w:divBdr>
                <w:top w:val="none" w:sz="0" w:space="0" w:color="auto"/>
                <w:left w:val="none" w:sz="0" w:space="0" w:color="auto"/>
                <w:bottom w:val="none" w:sz="0" w:space="0" w:color="auto"/>
                <w:right w:val="none" w:sz="0" w:space="0" w:color="auto"/>
              </w:divBdr>
              <w:divsChild>
                <w:div w:id="496532196">
                  <w:marLeft w:val="0"/>
                  <w:marRight w:val="0"/>
                  <w:marTop w:val="0"/>
                  <w:marBottom w:val="0"/>
                  <w:divBdr>
                    <w:top w:val="none" w:sz="0" w:space="0" w:color="auto"/>
                    <w:left w:val="none" w:sz="0" w:space="0" w:color="auto"/>
                    <w:bottom w:val="none" w:sz="0" w:space="0" w:color="auto"/>
                    <w:right w:val="none" w:sz="0" w:space="0" w:color="auto"/>
                  </w:divBdr>
                  <w:divsChild>
                    <w:div w:id="65321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971504">
      <w:bodyDiv w:val="1"/>
      <w:marLeft w:val="0"/>
      <w:marRight w:val="0"/>
      <w:marTop w:val="0"/>
      <w:marBottom w:val="0"/>
      <w:divBdr>
        <w:top w:val="none" w:sz="0" w:space="0" w:color="auto"/>
        <w:left w:val="none" w:sz="0" w:space="0" w:color="auto"/>
        <w:bottom w:val="none" w:sz="0" w:space="0" w:color="auto"/>
        <w:right w:val="none" w:sz="0" w:space="0" w:color="auto"/>
      </w:divBdr>
    </w:div>
    <w:div w:id="1248346873">
      <w:bodyDiv w:val="1"/>
      <w:marLeft w:val="0"/>
      <w:marRight w:val="0"/>
      <w:marTop w:val="0"/>
      <w:marBottom w:val="0"/>
      <w:divBdr>
        <w:top w:val="none" w:sz="0" w:space="0" w:color="auto"/>
        <w:left w:val="none" w:sz="0" w:space="0" w:color="auto"/>
        <w:bottom w:val="none" w:sz="0" w:space="0" w:color="auto"/>
        <w:right w:val="none" w:sz="0" w:space="0" w:color="auto"/>
      </w:divBdr>
    </w:div>
    <w:div w:id="1330714165">
      <w:bodyDiv w:val="1"/>
      <w:marLeft w:val="0"/>
      <w:marRight w:val="0"/>
      <w:marTop w:val="0"/>
      <w:marBottom w:val="0"/>
      <w:divBdr>
        <w:top w:val="none" w:sz="0" w:space="0" w:color="auto"/>
        <w:left w:val="none" w:sz="0" w:space="0" w:color="auto"/>
        <w:bottom w:val="none" w:sz="0" w:space="0" w:color="auto"/>
        <w:right w:val="none" w:sz="0" w:space="0" w:color="auto"/>
      </w:divBdr>
    </w:div>
    <w:div w:id="1550648927">
      <w:bodyDiv w:val="1"/>
      <w:marLeft w:val="0"/>
      <w:marRight w:val="0"/>
      <w:marTop w:val="0"/>
      <w:marBottom w:val="0"/>
      <w:divBdr>
        <w:top w:val="none" w:sz="0" w:space="0" w:color="auto"/>
        <w:left w:val="none" w:sz="0" w:space="0" w:color="auto"/>
        <w:bottom w:val="none" w:sz="0" w:space="0" w:color="auto"/>
        <w:right w:val="none" w:sz="0" w:space="0" w:color="auto"/>
      </w:divBdr>
      <w:divsChild>
        <w:div w:id="1833174466">
          <w:marLeft w:val="0"/>
          <w:marRight w:val="0"/>
          <w:marTop w:val="0"/>
          <w:marBottom w:val="0"/>
          <w:divBdr>
            <w:top w:val="none" w:sz="0" w:space="0" w:color="auto"/>
            <w:left w:val="none" w:sz="0" w:space="0" w:color="auto"/>
            <w:bottom w:val="none" w:sz="0" w:space="0" w:color="auto"/>
            <w:right w:val="none" w:sz="0" w:space="0" w:color="auto"/>
          </w:divBdr>
          <w:divsChild>
            <w:div w:id="1766222281">
              <w:marLeft w:val="0"/>
              <w:marRight w:val="0"/>
              <w:marTop w:val="0"/>
              <w:marBottom w:val="0"/>
              <w:divBdr>
                <w:top w:val="none" w:sz="0" w:space="0" w:color="auto"/>
                <w:left w:val="none" w:sz="0" w:space="0" w:color="auto"/>
                <w:bottom w:val="none" w:sz="0" w:space="0" w:color="auto"/>
                <w:right w:val="none" w:sz="0" w:space="0" w:color="auto"/>
              </w:divBdr>
              <w:divsChild>
                <w:div w:id="156664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935675">
      <w:bodyDiv w:val="1"/>
      <w:marLeft w:val="0"/>
      <w:marRight w:val="0"/>
      <w:marTop w:val="0"/>
      <w:marBottom w:val="0"/>
      <w:divBdr>
        <w:top w:val="none" w:sz="0" w:space="0" w:color="auto"/>
        <w:left w:val="none" w:sz="0" w:space="0" w:color="auto"/>
        <w:bottom w:val="none" w:sz="0" w:space="0" w:color="auto"/>
        <w:right w:val="none" w:sz="0" w:space="0" w:color="auto"/>
      </w:divBdr>
    </w:div>
    <w:div w:id="1769961777">
      <w:bodyDiv w:val="1"/>
      <w:marLeft w:val="0"/>
      <w:marRight w:val="0"/>
      <w:marTop w:val="0"/>
      <w:marBottom w:val="0"/>
      <w:divBdr>
        <w:top w:val="none" w:sz="0" w:space="0" w:color="auto"/>
        <w:left w:val="none" w:sz="0" w:space="0" w:color="auto"/>
        <w:bottom w:val="none" w:sz="0" w:space="0" w:color="auto"/>
        <w:right w:val="none" w:sz="0" w:space="0" w:color="auto"/>
      </w:divBdr>
    </w:div>
    <w:div w:id="1812401343">
      <w:bodyDiv w:val="1"/>
      <w:marLeft w:val="0"/>
      <w:marRight w:val="0"/>
      <w:marTop w:val="0"/>
      <w:marBottom w:val="0"/>
      <w:divBdr>
        <w:top w:val="none" w:sz="0" w:space="0" w:color="auto"/>
        <w:left w:val="none" w:sz="0" w:space="0" w:color="auto"/>
        <w:bottom w:val="none" w:sz="0" w:space="0" w:color="auto"/>
        <w:right w:val="none" w:sz="0" w:space="0" w:color="auto"/>
      </w:divBdr>
    </w:div>
    <w:div w:id="1936476894">
      <w:bodyDiv w:val="1"/>
      <w:marLeft w:val="0"/>
      <w:marRight w:val="0"/>
      <w:marTop w:val="0"/>
      <w:marBottom w:val="0"/>
      <w:divBdr>
        <w:top w:val="none" w:sz="0" w:space="0" w:color="auto"/>
        <w:left w:val="none" w:sz="0" w:space="0" w:color="auto"/>
        <w:bottom w:val="none" w:sz="0" w:space="0" w:color="auto"/>
        <w:right w:val="none" w:sz="0" w:space="0" w:color="auto"/>
      </w:divBdr>
    </w:div>
    <w:div w:id="2026980089">
      <w:bodyDiv w:val="1"/>
      <w:marLeft w:val="0"/>
      <w:marRight w:val="0"/>
      <w:marTop w:val="0"/>
      <w:marBottom w:val="0"/>
      <w:divBdr>
        <w:top w:val="none" w:sz="0" w:space="0" w:color="auto"/>
        <w:left w:val="none" w:sz="0" w:space="0" w:color="auto"/>
        <w:bottom w:val="none" w:sz="0" w:space="0" w:color="auto"/>
        <w:right w:val="none" w:sz="0" w:space="0" w:color="auto"/>
      </w:divBdr>
      <w:divsChild>
        <w:div w:id="1656493948">
          <w:marLeft w:val="0"/>
          <w:marRight w:val="0"/>
          <w:marTop w:val="0"/>
          <w:marBottom w:val="0"/>
          <w:divBdr>
            <w:top w:val="none" w:sz="0" w:space="0" w:color="auto"/>
            <w:left w:val="none" w:sz="0" w:space="0" w:color="auto"/>
            <w:bottom w:val="none" w:sz="0" w:space="0" w:color="auto"/>
            <w:right w:val="none" w:sz="0" w:space="0" w:color="auto"/>
          </w:divBdr>
          <w:divsChild>
            <w:div w:id="671494620">
              <w:marLeft w:val="0"/>
              <w:marRight w:val="0"/>
              <w:marTop w:val="0"/>
              <w:marBottom w:val="0"/>
              <w:divBdr>
                <w:top w:val="none" w:sz="0" w:space="0" w:color="auto"/>
                <w:left w:val="none" w:sz="0" w:space="0" w:color="auto"/>
                <w:bottom w:val="none" w:sz="0" w:space="0" w:color="auto"/>
                <w:right w:val="none" w:sz="0" w:space="0" w:color="auto"/>
              </w:divBdr>
              <w:divsChild>
                <w:div w:id="161245022">
                  <w:marLeft w:val="0"/>
                  <w:marRight w:val="0"/>
                  <w:marTop w:val="0"/>
                  <w:marBottom w:val="0"/>
                  <w:divBdr>
                    <w:top w:val="none" w:sz="0" w:space="0" w:color="auto"/>
                    <w:left w:val="none" w:sz="0" w:space="0" w:color="auto"/>
                    <w:bottom w:val="none" w:sz="0" w:space="0" w:color="auto"/>
                    <w:right w:val="none" w:sz="0" w:space="0" w:color="auto"/>
                  </w:divBdr>
                  <w:divsChild>
                    <w:div w:id="9241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LocalEnergyCodes.com" TargetMode="External"/><Relationship Id="rId18" Type="http://schemas.openxmlformats.org/officeDocument/2006/relationships/hyperlink" Target="https://localenergycodes.com/content/resources" TargetMode="External"/><Relationship Id="rId26" Type="http://schemas.openxmlformats.org/officeDocument/2006/relationships/hyperlink" Target="https://www.dgs.ca.gov/-/media/Divisions/BSC/05-Resources/Guidebooks/Guide-Local-Amend-of-Bldg-Stnds-02-03-23-Final.pdf?la=en&amp;hash=64D83F8470C9F763C5524DA4E0EEDF886A63A93A"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dgs.ca.gov/-/media/Divisions/BSC/05-Resources/Guidebooks/Guide-Local-Amend-of-Bldg-Stnds-02-03-23-Final-rev-06-23.pdf?la=en&amp;hash=C9ED1A74A6A0F6445BDA782591FF9776CD686E5B" TargetMode="External"/><Relationship Id="rId29" Type="http://schemas.openxmlformats.org/officeDocument/2006/relationships/hyperlink" Target="https://www.dgs.ca.gov/-/media/Divisions/BSC/05-Resources/Guidebooks/Guide-Local-Amend-of-Bldg-Stnds-02-03-23-Final.pdf?la=en&amp;hash=64D83F8470C9F763C5524DA4E0EEDF886A63A93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cornelius\Documents\CEPA\Bruceri\EVs\ModelOrdinance\localenergycodes.com" TargetMode="Externa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dgs.ca.gov/BSC/Codes/Local-Amendments-to-Building-Standards---Ordinances"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header" Target="header8.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ocalenergycodes.com/download/1508/local_government_adoption_ordinance/fieldList/2022%20Marin%20County%20-%20Ordinance.pdf" TargetMode="External"/><Relationship Id="rId2" Type="http://schemas.openxmlformats.org/officeDocument/2006/relationships/hyperlink" Target="https://localenergycodes.com/download/1580/local_government_adoption_ordinance/fieldList/2022%20Fairfax%20-%20Ordinance.pdf" TargetMode="External"/><Relationship Id="rId1" Type="http://schemas.openxmlformats.org/officeDocument/2006/relationships/hyperlink" Target="https://localenergycodes.com/download/1508/local_government_adoption_ordinance/fieldList/2022%20Marin%20County%20-%20Ordinance.pdf" TargetMode="External"/><Relationship Id="rId4" Type="http://schemas.openxmlformats.org/officeDocument/2006/relationships/hyperlink" Target="https://localenergycodes.com/download/1580/local_government_adoption_ordinance/fieldList/2022%20Fairfax%20-%20Ordin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3271BD99DFC142B9EC194ECC175892" ma:contentTypeVersion="17" ma:contentTypeDescription="Create a new document." ma:contentTypeScope="" ma:versionID="3ab2f0b3a9d18370f62933c7b1c750c5">
  <xsd:schema xmlns:xsd="http://www.w3.org/2001/XMLSchema" xmlns:xs="http://www.w3.org/2001/XMLSchema" xmlns:p="http://schemas.microsoft.com/office/2006/metadata/properties" xmlns:ns2="e8f1e76b-6245-4ff9-9a44-2b469255fd9a" xmlns:ns3="c0b2fd72-242a-4f36-9365-5c5227bd0a37" targetNamespace="http://schemas.microsoft.com/office/2006/metadata/properties" ma:root="true" ma:fieldsID="3ee7ab2de270338855a991077d12240d" ns2:_="" ns3:_="">
    <xsd:import namespace="e8f1e76b-6245-4ff9-9a44-2b469255fd9a"/>
    <xsd:import namespace="c0b2fd72-242a-4f36-9365-5c5227bd0a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f1e76b-6245-4ff9-9a44-2b469255f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4a1949b-91db-4c9a-b8ec-16f71fd46c3e"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2fd72-242a-4f36-9365-5c5227bd0a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b26031b-4086-49d5-9392-1e244d95c9c8}" ma:internalName="TaxCatchAll" ma:showField="CatchAllData" ma:web="c0b2fd72-242a-4f36-9365-5c5227bd0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b2fd72-242a-4f36-9365-5c5227bd0a37" xsi:nil="true"/>
    <lcf76f155ced4ddcb4097134ff3c332f xmlns="e8f1e76b-6245-4ff9-9a44-2b469255fd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01401-8493-451C-9B63-0BC6C5E92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f1e76b-6245-4ff9-9a44-2b469255fd9a"/>
    <ds:schemaRef ds:uri="c0b2fd72-242a-4f36-9365-5c5227bd0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113C34-010E-4213-8C0F-AA08E0F43D75}">
  <ds:schemaRefs>
    <ds:schemaRef ds:uri="http://schemas.microsoft.com/sharepoint/v3/contenttype/forms"/>
  </ds:schemaRefs>
</ds:datastoreItem>
</file>

<file path=customXml/itemProps3.xml><?xml version="1.0" encoding="utf-8"?>
<ds:datastoreItem xmlns:ds="http://schemas.openxmlformats.org/officeDocument/2006/customXml" ds:itemID="{F22F5696-2B75-4EE5-8D28-530D1D949FE5}">
  <ds:schemaRefs>
    <ds:schemaRef ds:uri="http://schemas.microsoft.com/office/2006/metadata/properties"/>
    <ds:schemaRef ds:uri="http://schemas.microsoft.com/office/infopath/2007/PartnerControls"/>
    <ds:schemaRef ds:uri="c0b2fd72-242a-4f36-9365-5c5227bd0a37"/>
    <ds:schemaRef ds:uri="e8f1e76b-6245-4ff9-9a44-2b469255fd9a"/>
  </ds:schemaRefs>
</ds:datastoreItem>
</file>

<file path=customXml/itemProps4.xml><?xml version="1.0" encoding="utf-8"?>
<ds:datastoreItem xmlns:ds="http://schemas.openxmlformats.org/officeDocument/2006/customXml" ds:itemID="{9F0BB1FB-D166-4569-8BEB-5662E2C25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10011</Words>
  <Characters>57063</Characters>
  <Application>Microsoft Office Word</Application>
  <DocSecurity>4</DocSecurity>
  <Lines>475</Lines>
  <Paragraphs>133</Paragraphs>
  <ScaleCrop>false</ScaleCrop>
  <Manager/>
  <Company/>
  <LinksUpToDate>false</LinksUpToDate>
  <CharactersWithSpaces>66941</CharactersWithSpaces>
  <SharedDoc>false</SharedDoc>
  <HyperlinkBase/>
  <HLinks>
    <vt:vector size="60" baseType="variant">
      <vt:variant>
        <vt:i4>7340129</vt:i4>
      </vt:variant>
      <vt:variant>
        <vt:i4>15</vt:i4>
      </vt:variant>
      <vt:variant>
        <vt:i4>0</vt:i4>
      </vt:variant>
      <vt:variant>
        <vt:i4>5</vt:i4>
      </vt:variant>
      <vt:variant>
        <vt:lpwstr>https://www.dgs.ca.gov/-/media/Divisions/BSC/05-Resources/Guidebooks/Guide-Local-Amend-of-Bldg-Stnds-02-03-23-Final.pdf?la=en&amp;hash=64D83F8470C9F763C5524DA4E0EEDF886A63A93A</vt:lpwstr>
      </vt:variant>
      <vt:variant>
        <vt:lpwstr/>
      </vt:variant>
      <vt:variant>
        <vt:i4>7340129</vt:i4>
      </vt:variant>
      <vt:variant>
        <vt:i4>12</vt:i4>
      </vt:variant>
      <vt:variant>
        <vt:i4>0</vt:i4>
      </vt:variant>
      <vt:variant>
        <vt:i4>5</vt:i4>
      </vt:variant>
      <vt:variant>
        <vt:lpwstr>https://www.dgs.ca.gov/-/media/Divisions/BSC/05-Resources/Guidebooks/Guide-Local-Amend-of-Bldg-Stnds-02-03-23-Final.pdf?la=en&amp;hash=64D83F8470C9F763C5524DA4E0EEDF886A63A93A</vt:lpwstr>
      </vt:variant>
      <vt:variant>
        <vt:lpwstr/>
      </vt:variant>
      <vt:variant>
        <vt:i4>4194370</vt:i4>
      </vt:variant>
      <vt:variant>
        <vt:i4>9</vt:i4>
      </vt:variant>
      <vt:variant>
        <vt:i4>0</vt:i4>
      </vt:variant>
      <vt:variant>
        <vt:i4>5</vt:i4>
      </vt:variant>
      <vt:variant>
        <vt:lpwstr>https://www.dgs.ca.gov/-/media/Divisions/BSC/05-Resources/Guidebooks/Guide-Local-Amend-of-Bldg-Stnds-02-03-23-Final-rev-06-23.pdf?la=en&amp;hash=C9ED1A74A6A0F6445BDA782591FF9776CD686E5B</vt:lpwstr>
      </vt:variant>
      <vt:variant>
        <vt:lpwstr/>
      </vt:variant>
      <vt:variant>
        <vt:i4>851977</vt:i4>
      </vt:variant>
      <vt:variant>
        <vt:i4>6</vt:i4>
      </vt:variant>
      <vt:variant>
        <vt:i4>0</vt:i4>
      </vt:variant>
      <vt:variant>
        <vt:i4>5</vt:i4>
      </vt:variant>
      <vt:variant>
        <vt:lpwstr>https://www.dgs.ca.gov/BSC/Codes/Local-Amendments-to-Building-Standards---Ordinances</vt:lpwstr>
      </vt:variant>
      <vt:variant>
        <vt:lpwstr/>
      </vt:variant>
      <vt:variant>
        <vt:i4>7995493</vt:i4>
      </vt:variant>
      <vt:variant>
        <vt:i4>3</vt:i4>
      </vt:variant>
      <vt:variant>
        <vt:i4>0</vt:i4>
      </vt:variant>
      <vt:variant>
        <vt:i4>5</vt:i4>
      </vt:variant>
      <vt:variant>
        <vt:lpwstr>https://localenergycodes.com/content/resources</vt:lpwstr>
      </vt:variant>
      <vt:variant>
        <vt:lpwstr/>
      </vt:variant>
      <vt:variant>
        <vt:i4>4063238</vt:i4>
      </vt:variant>
      <vt:variant>
        <vt:i4>0</vt:i4>
      </vt:variant>
      <vt:variant>
        <vt:i4>0</vt:i4>
      </vt:variant>
      <vt:variant>
        <vt:i4>5</vt:i4>
      </vt:variant>
      <vt:variant>
        <vt:lpwstr>mailto:info@LocalEnergyCodes.com</vt:lpwstr>
      </vt:variant>
      <vt:variant>
        <vt:lpwstr/>
      </vt:variant>
      <vt:variant>
        <vt:i4>7077955</vt:i4>
      </vt:variant>
      <vt:variant>
        <vt:i4>9</vt:i4>
      </vt:variant>
      <vt:variant>
        <vt:i4>0</vt:i4>
      </vt:variant>
      <vt:variant>
        <vt:i4>5</vt:i4>
      </vt:variant>
      <vt:variant>
        <vt:lpwstr>https://localenergycodes.com/download/1580/local_government_adoption_ordinance/fieldList/2022 Fairfax - Ordinance.pdf</vt:lpwstr>
      </vt:variant>
      <vt:variant>
        <vt:lpwstr/>
      </vt:variant>
      <vt:variant>
        <vt:i4>4194345</vt:i4>
      </vt:variant>
      <vt:variant>
        <vt:i4>6</vt:i4>
      </vt:variant>
      <vt:variant>
        <vt:i4>0</vt:i4>
      </vt:variant>
      <vt:variant>
        <vt:i4>5</vt:i4>
      </vt:variant>
      <vt:variant>
        <vt:lpwstr>https://localenergycodes.com/download/1508/local_government_adoption_ordinance/fieldList/2022 Marin County - Ordinance.pdf</vt:lpwstr>
      </vt:variant>
      <vt:variant>
        <vt:lpwstr/>
      </vt:variant>
      <vt:variant>
        <vt:i4>7077955</vt:i4>
      </vt:variant>
      <vt:variant>
        <vt:i4>3</vt:i4>
      </vt:variant>
      <vt:variant>
        <vt:i4>0</vt:i4>
      </vt:variant>
      <vt:variant>
        <vt:i4>5</vt:i4>
      </vt:variant>
      <vt:variant>
        <vt:lpwstr>https://localenergycodes.com/download/1580/local_government_adoption_ordinance/fieldList/2022 Fairfax - Ordinance.pdf</vt:lpwstr>
      </vt:variant>
      <vt:variant>
        <vt:lpwstr/>
      </vt:variant>
      <vt:variant>
        <vt:i4>4194345</vt:i4>
      </vt:variant>
      <vt:variant>
        <vt:i4>0</vt:i4>
      </vt:variant>
      <vt:variant>
        <vt:i4>0</vt:i4>
      </vt:variant>
      <vt:variant>
        <vt:i4>5</vt:i4>
      </vt:variant>
      <vt:variant>
        <vt:lpwstr>https://localenergycodes.com/download/1508/local_government_adoption_ordinance/fieldList/2022 Marin County - Ordinance.pdf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Bryan</dc:creator>
  <cp:keywords/>
  <dc:description/>
  <cp:lastModifiedBy>Neal DeSnoo</cp:lastModifiedBy>
  <cp:revision>95</cp:revision>
  <cp:lastPrinted>2023-06-13T01:39:00Z</cp:lastPrinted>
  <dcterms:created xsi:type="dcterms:W3CDTF">2023-07-23T15:48:00Z</dcterms:created>
  <dcterms:modified xsi:type="dcterms:W3CDTF">2024-02-22T18:53:00Z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0x010100E03271BD99DFC142B9EC194ECC175892</vt:lpwstr>
  </property>
  <property fmtid="{D5CDD505-2E9C-101B-9397-08002B2CF9AE}" pid="3" name="MediaServiceImageTags">
    <vt:lpwstr/>
  </property>
</Properties>
</file>